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2B23596C"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w:t>
      </w:r>
      <w:r w:rsidR="007F18C8" w:rsidRPr="00E159EC">
        <w:rPr>
          <w:rStyle w:val="berschrift2Zchn"/>
          <w:b/>
          <w:bCs w:val="0"/>
          <w:color w:val="656567" w:themeColor="text2" w:themeShade="BF"/>
        </w:rPr>
        <w:t xml:space="preserve">Stand </w:t>
      </w:r>
      <w:r w:rsidR="00977622" w:rsidRPr="00E159EC">
        <w:rPr>
          <w:b w:val="0"/>
          <w:bCs/>
          <w:sz w:val="22"/>
          <w:szCs w:val="26"/>
        </w:rPr>
        <w:t>2</w:t>
      </w:r>
      <w:r w:rsidR="00C46FFB" w:rsidRPr="00E159EC">
        <w:rPr>
          <w:b w:val="0"/>
          <w:bCs/>
          <w:sz w:val="22"/>
          <w:szCs w:val="26"/>
        </w:rPr>
        <w:t>8</w:t>
      </w:r>
      <w:r w:rsidR="00977622" w:rsidRPr="00E159EC">
        <w:rPr>
          <w:b w:val="0"/>
          <w:bCs/>
          <w:sz w:val="22"/>
          <w:szCs w:val="26"/>
        </w:rPr>
        <w:t>.01.2026</w:t>
      </w:r>
      <w:r w:rsidR="00453E24" w:rsidRPr="00E159EC">
        <w:rPr>
          <w:rStyle w:val="berschrift2Zchn"/>
          <w:b/>
          <w:bCs w:val="0"/>
          <w:color w:val="656567" w:themeColor="text2" w:themeShade="BF"/>
        </w:rPr>
        <w:t xml:space="preserve">, </w:t>
      </w:r>
      <w:r w:rsidR="00744507" w:rsidRPr="00E159EC">
        <w:rPr>
          <w:rStyle w:val="berschrift2Zchn"/>
          <w:b/>
          <w:bCs w:val="0"/>
          <w:color w:val="656567" w:themeColor="text2" w:themeShade="BF"/>
        </w:rPr>
        <w:t>1</w:t>
      </w:r>
      <w:r w:rsidR="00C46FFB" w:rsidRPr="00E159EC">
        <w:rPr>
          <w:rStyle w:val="berschrift2Zchn"/>
          <w:b/>
          <w:bCs w:val="0"/>
          <w:color w:val="656567" w:themeColor="text2" w:themeShade="BF"/>
        </w:rPr>
        <w:t>3.</w:t>
      </w:r>
      <w:r w:rsidR="00AE592E" w:rsidRPr="00E159EC">
        <w:rPr>
          <w:rStyle w:val="berschrift2Zchn"/>
          <w:b/>
          <w:bCs w:val="0"/>
          <w:color w:val="656567" w:themeColor="text2" w:themeShade="BF"/>
        </w:rPr>
        <w:t>00</w:t>
      </w:r>
      <w:r w:rsidR="007F18C8" w:rsidRPr="00E159EC">
        <w:rPr>
          <w:rStyle w:val="berschrift2Zchn"/>
          <w:b/>
          <w:bCs w:val="0"/>
          <w:color w:val="656567" w:themeColor="text2" w:themeShade="BF"/>
        </w:rPr>
        <w:t xml:space="preserve"> Uhr</w:t>
      </w:r>
      <w:r w:rsidR="00453E24" w:rsidRPr="00453E24">
        <w:rPr>
          <w:rStyle w:val="berschrift2Zchn"/>
          <w:color w:val="656567" w:themeColor="text2" w:themeShade="BF"/>
        </w:rPr>
        <w:t>)</w:t>
      </w:r>
    </w:p>
    <w:p w14:paraId="0902AC1D" w14:textId="75D2B0AF" w:rsidR="009C0D41" w:rsidRDefault="00CD5E3C" w:rsidP="00453E24">
      <w:pPr>
        <w:pStyle w:val="Untertitel"/>
      </w:pPr>
      <w:r>
        <w:t xml:space="preserve">Stadtratssitzung vom </w:t>
      </w:r>
      <w:r w:rsidR="00977622">
        <w:t>12. Februar 2026</w:t>
      </w:r>
      <w:fldSimple w:instr=" SUBJECT   \* MERGEFORMAT "/>
    </w:p>
    <w:p w14:paraId="469186BD" w14:textId="7EB2EBAB" w:rsidR="00AA05F6" w:rsidRDefault="00AA05F6" w:rsidP="00AA05F6">
      <w:pPr>
        <w:pStyle w:val="berschrift3"/>
      </w:pPr>
      <w:r>
        <w:t xml:space="preserve">Traktandum </w:t>
      </w:r>
      <w:r w:rsidR="00977622">
        <w:rPr>
          <w:rFonts w:cstheme="majorHAnsi"/>
        </w:rPr>
        <w:t>2</w:t>
      </w:r>
      <w:r>
        <w:t xml:space="preserve">: </w:t>
      </w:r>
      <w:r w:rsidR="00977622" w:rsidRPr="00977622">
        <w:t xml:space="preserve">Kommission für Soziales, Bildung und Kultur (SBK): Ersatzwahl stellvertretendes Mitglied </w:t>
      </w:r>
      <w:r>
        <w:t>(</w:t>
      </w:r>
      <w:r w:rsidR="00977622" w:rsidRPr="00977622">
        <w:rPr>
          <w:rFonts w:cstheme="majorHAnsi"/>
        </w:rPr>
        <w:t>2026.SR.0014</w:t>
      </w:r>
      <w:r>
        <w:t>)</w:t>
      </w:r>
    </w:p>
    <w:tbl>
      <w:tblPr>
        <w:tblStyle w:val="Tabellenraster"/>
        <w:tblW w:w="5000" w:type="pct"/>
        <w:tblLook w:val="04A0" w:firstRow="1" w:lastRow="0" w:firstColumn="1" w:lastColumn="0" w:noHBand="0" w:noVBand="1"/>
      </w:tblPr>
      <w:tblGrid>
        <w:gridCol w:w="676"/>
        <w:gridCol w:w="2259"/>
        <w:gridCol w:w="5245"/>
        <w:gridCol w:w="5331"/>
      </w:tblGrid>
      <w:tr w:rsidR="00795CAB" w14:paraId="2FBFBDA8" w14:textId="77777777" w:rsidTr="00966C21">
        <w:trPr>
          <w:tblHeader/>
        </w:trPr>
        <w:tc>
          <w:tcPr>
            <w:tcW w:w="250" w:type="pct"/>
            <w:tcBorders>
              <w:top w:val="single" w:sz="4" w:space="0" w:color="auto"/>
              <w:left w:val="single" w:sz="4" w:space="0" w:color="auto"/>
              <w:bottom w:val="single" w:sz="4" w:space="0" w:color="auto"/>
              <w:right w:val="single" w:sz="4" w:space="0" w:color="auto"/>
            </w:tcBorders>
            <w:hideMark/>
          </w:tcPr>
          <w:p w14:paraId="57EACEF6" w14:textId="77777777" w:rsidR="00795CAB" w:rsidRPr="00966C21" w:rsidRDefault="00795CAB" w:rsidP="00966C21">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66128616" w14:textId="77777777" w:rsidR="00795CAB" w:rsidRPr="00966C21" w:rsidRDefault="00795CAB" w:rsidP="00966C21">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240F40E0" w14:textId="247CC781" w:rsidR="00795CAB" w:rsidRPr="00966C21" w:rsidRDefault="00795CAB" w:rsidP="00966C21">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7838A285" w14:textId="77777777" w:rsidR="00795CAB" w:rsidRPr="00966C21" w:rsidRDefault="00795CAB" w:rsidP="00966C21">
            <w:pPr>
              <w:spacing w:before="120" w:after="120"/>
              <w:rPr>
                <w:rStyle w:val="Fett"/>
              </w:rPr>
            </w:pPr>
            <w:r w:rsidRPr="00966C21">
              <w:rPr>
                <w:rStyle w:val="Fett"/>
              </w:rPr>
              <w:t>Begründung</w:t>
            </w:r>
          </w:p>
        </w:tc>
      </w:tr>
      <w:tr w:rsidR="00795CAB" w14:paraId="03E60D71" w14:textId="77777777" w:rsidTr="00966C21">
        <w:tc>
          <w:tcPr>
            <w:tcW w:w="250" w:type="pct"/>
            <w:tcBorders>
              <w:top w:val="single" w:sz="4" w:space="0" w:color="auto"/>
              <w:left w:val="single" w:sz="4" w:space="0" w:color="auto"/>
              <w:bottom w:val="single" w:sz="4" w:space="0" w:color="auto"/>
              <w:right w:val="single" w:sz="4" w:space="0" w:color="auto"/>
            </w:tcBorders>
          </w:tcPr>
          <w:p w14:paraId="69DB9AE3" w14:textId="77777777" w:rsidR="00795CAB" w:rsidRDefault="00795CAB" w:rsidP="00795CAB">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28D1F3E6" w14:textId="37957C8A" w:rsidR="00795CAB" w:rsidRDefault="00977622" w:rsidP="00D77991">
            <w:r>
              <w:t>GLP/EVP</w:t>
            </w:r>
          </w:p>
        </w:tc>
        <w:tc>
          <w:tcPr>
            <w:tcW w:w="1941" w:type="pct"/>
            <w:tcBorders>
              <w:top w:val="single" w:sz="4" w:space="0" w:color="auto"/>
              <w:left w:val="single" w:sz="4" w:space="0" w:color="auto"/>
              <w:bottom w:val="single" w:sz="4" w:space="0" w:color="auto"/>
              <w:right w:val="single" w:sz="4" w:space="0" w:color="auto"/>
            </w:tcBorders>
          </w:tcPr>
          <w:p w14:paraId="19867495" w14:textId="50750A56" w:rsidR="00795CAB" w:rsidRDefault="00977622" w:rsidP="00D77991">
            <w:r w:rsidRPr="00877E74">
              <w:t>Der Stadtrat wähl</w:t>
            </w:r>
            <w:r w:rsidR="00542E9C">
              <w:t>t Simon Gyger</w:t>
            </w:r>
            <w:r>
              <w:t xml:space="preserve"> (EVP</w:t>
            </w:r>
            <w:r w:rsidRPr="00877E74">
              <w:t xml:space="preserve">) als stellvertretendes Mitglied </w:t>
            </w:r>
            <w:r w:rsidR="00124FE3">
              <w:t xml:space="preserve">in die Kommission </w:t>
            </w:r>
            <w:r w:rsidRPr="00977622">
              <w:t>Soziales, Bildung und Kultur (SBK)</w:t>
            </w:r>
            <w:r w:rsidRPr="00877E74">
              <w:t xml:space="preserve"> für die zurückgetretene </w:t>
            </w:r>
            <w:r>
              <w:t xml:space="preserve">Gabriela Blatter </w:t>
            </w:r>
            <w:r w:rsidRPr="00877E74">
              <w:t>(</w:t>
            </w:r>
            <w:r>
              <w:t>GLP</w:t>
            </w:r>
            <w:r w:rsidRPr="00877E74">
              <w:t>).</w:t>
            </w:r>
          </w:p>
        </w:tc>
        <w:tc>
          <w:tcPr>
            <w:tcW w:w="1973" w:type="pct"/>
            <w:tcBorders>
              <w:top w:val="single" w:sz="4" w:space="0" w:color="auto"/>
              <w:left w:val="single" w:sz="4" w:space="0" w:color="auto"/>
              <w:bottom w:val="single" w:sz="4" w:space="0" w:color="auto"/>
              <w:right w:val="single" w:sz="4" w:space="0" w:color="auto"/>
            </w:tcBorders>
          </w:tcPr>
          <w:p w14:paraId="56332A2E" w14:textId="77777777" w:rsidR="00795CAB" w:rsidRDefault="00795CAB" w:rsidP="00D77991"/>
        </w:tc>
      </w:tr>
    </w:tbl>
    <w:p w14:paraId="0BA04E70" w14:textId="2FB8811B" w:rsidR="00966C21" w:rsidRDefault="00966C21" w:rsidP="00966C21">
      <w:pPr>
        <w:pStyle w:val="berschrift3"/>
      </w:pPr>
      <w:r>
        <w:t xml:space="preserve">Traktandum </w:t>
      </w:r>
      <w:r w:rsidR="003F73E7">
        <w:rPr>
          <w:rFonts w:cstheme="majorHAnsi"/>
        </w:rPr>
        <w:t>3</w:t>
      </w:r>
      <w:r>
        <w:t xml:space="preserve">: </w:t>
      </w:r>
      <w:r w:rsidR="003F73E7" w:rsidRPr="00890820">
        <w:t>Zonen für öffentliche Nutzungen: Teilrevisionen Bauordnung der Stadt Bern vom 24. September 2006 (BO; SSSB 721.1) und Gemeindeordnung der Stadt Bern vom 3. Dezember 1998 (GO; SSSB 101.1); Information über die Vorlage zur öffentlichen Mitwirkung</w:t>
      </w:r>
      <w:r w:rsidR="003F73E7">
        <w:t xml:space="preserve"> (2018.PRD.000063)</w:t>
      </w:r>
    </w:p>
    <w:tbl>
      <w:tblPr>
        <w:tblStyle w:val="Tabellenraster"/>
        <w:tblW w:w="5000" w:type="pct"/>
        <w:tblLook w:val="04A0" w:firstRow="1" w:lastRow="0" w:firstColumn="1" w:lastColumn="0" w:noHBand="0" w:noVBand="1"/>
      </w:tblPr>
      <w:tblGrid>
        <w:gridCol w:w="676"/>
        <w:gridCol w:w="2259"/>
        <w:gridCol w:w="5245"/>
        <w:gridCol w:w="5331"/>
      </w:tblGrid>
      <w:tr w:rsidR="00966C21" w14:paraId="388D8344" w14:textId="77777777" w:rsidTr="00966C21">
        <w:trPr>
          <w:tblHeader/>
        </w:trPr>
        <w:tc>
          <w:tcPr>
            <w:tcW w:w="250" w:type="pct"/>
            <w:tcBorders>
              <w:top w:val="single" w:sz="4" w:space="0" w:color="auto"/>
              <w:left w:val="single" w:sz="4" w:space="0" w:color="auto"/>
              <w:bottom w:val="single" w:sz="4" w:space="0" w:color="auto"/>
              <w:right w:val="single" w:sz="4" w:space="0" w:color="auto"/>
            </w:tcBorders>
            <w:hideMark/>
          </w:tcPr>
          <w:p w14:paraId="1FEDD251" w14:textId="77777777" w:rsidR="00966C21" w:rsidRPr="00966C21" w:rsidRDefault="00966C21" w:rsidP="00E374C2">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01AA26AD" w14:textId="77777777" w:rsidR="00966C21" w:rsidRPr="00966C21" w:rsidRDefault="00966C21" w:rsidP="00E374C2">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779A65A1" w14:textId="77777777" w:rsidR="00966C21" w:rsidRPr="00966C21" w:rsidRDefault="00966C21" w:rsidP="00E374C2">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7939C6D3" w14:textId="77777777" w:rsidR="00966C21" w:rsidRPr="00966C21" w:rsidRDefault="00966C21" w:rsidP="00E374C2">
            <w:pPr>
              <w:spacing w:before="120" w:after="120"/>
              <w:rPr>
                <w:rStyle w:val="Fett"/>
              </w:rPr>
            </w:pPr>
            <w:r w:rsidRPr="00966C21">
              <w:rPr>
                <w:rStyle w:val="Fett"/>
              </w:rPr>
              <w:t>Begründung</w:t>
            </w:r>
          </w:p>
        </w:tc>
      </w:tr>
      <w:tr w:rsidR="003F73E7" w14:paraId="702B0ABA" w14:textId="77777777" w:rsidTr="003F73E7">
        <w:tc>
          <w:tcPr>
            <w:tcW w:w="250" w:type="pct"/>
          </w:tcPr>
          <w:p w14:paraId="137DDFAD" w14:textId="77777777" w:rsidR="003F73E7" w:rsidRDefault="003F73E7" w:rsidP="003F73E7">
            <w:pPr>
              <w:pStyle w:val="Listenabsatz"/>
              <w:numPr>
                <w:ilvl w:val="0"/>
                <w:numId w:val="19"/>
              </w:numPr>
            </w:pPr>
          </w:p>
        </w:tc>
        <w:tc>
          <w:tcPr>
            <w:tcW w:w="836" w:type="pct"/>
          </w:tcPr>
          <w:p w14:paraId="5EFAABA4" w14:textId="77777777" w:rsidR="003F73E7" w:rsidRDefault="003F73E7" w:rsidP="00FF60D6">
            <w:r>
              <w:t>PVS</w:t>
            </w:r>
          </w:p>
        </w:tc>
        <w:tc>
          <w:tcPr>
            <w:tcW w:w="1941" w:type="pct"/>
          </w:tcPr>
          <w:p w14:paraId="51978A78" w14:textId="77777777" w:rsidR="003F73E7" w:rsidRDefault="003F73E7" w:rsidP="00FF60D6">
            <w:r w:rsidRPr="008F231B">
              <w:t>Bei allen öffentlichen Nutzungen ist das vorhandene Potenzial für ökologische Aufwertungen systematisch zu prüfen und möglichst umfassend zu nutzen</w:t>
            </w:r>
            <w:r>
              <w:t>.</w:t>
            </w:r>
          </w:p>
        </w:tc>
        <w:tc>
          <w:tcPr>
            <w:tcW w:w="1973" w:type="pct"/>
          </w:tcPr>
          <w:p w14:paraId="3DA7F9E8" w14:textId="77777777" w:rsidR="003F73E7" w:rsidRDefault="003F73E7" w:rsidP="00FF60D6">
            <w:r w:rsidRPr="008F231B">
              <w:t xml:space="preserve">Damit die Ziele des Biodiversitätskonzepts 2025-2035 erreicht werden und die vorgesehenen 20% der Fläche der Stadt Bern der Biodiversität zur Verfügung gestellt werden können, muss auf allen verfügbaren Arealen das Potential voll ausgeschöpft werden. Eine systematische Überprüfung des Potentials für biodiverse Fläche in allen </w:t>
            </w:r>
            <w:proofErr w:type="spellStart"/>
            <w:r w:rsidRPr="008F231B">
              <w:t>ZöN</w:t>
            </w:r>
            <w:proofErr w:type="spellEnd"/>
            <w:r w:rsidRPr="008F231B">
              <w:t xml:space="preserve"> ist empfehlenswert.</w:t>
            </w:r>
          </w:p>
        </w:tc>
      </w:tr>
      <w:tr w:rsidR="003F73E7" w:rsidRPr="008F231B" w14:paraId="76DC9394" w14:textId="77777777" w:rsidTr="003F73E7">
        <w:tc>
          <w:tcPr>
            <w:tcW w:w="250" w:type="pct"/>
          </w:tcPr>
          <w:p w14:paraId="3E476C6B" w14:textId="77777777" w:rsidR="003F73E7" w:rsidRDefault="003F73E7" w:rsidP="003F73E7">
            <w:pPr>
              <w:pStyle w:val="Listenabsatz"/>
              <w:numPr>
                <w:ilvl w:val="0"/>
                <w:numId w:val="19"/>
              </w:numPr>
            </w:pPr>
          </w:p>
        </w:tc>
        <w:tc>
          <w:tcPr>
            <w:tcW w:w="836" w:type="pct"/>
          </w:tcPr>
          <w:p w14:paraId="55171F9C" w14:textId="77777777" w:rsidR="003F73E7" w:rsidRDefault="003F73E7" w:rsidP="00FF60D6">
            <w:r w:rsidRPr="008F231B">
              <w:t>PVS</w:t>
            </w:r>
          </w:p>
        </w:tc>
        <w:tc>
          <w:tcPr>
            <w:tcW w:w="1941" w:type="pct"/>
          </w:tcPr>
          <w:p w14:paraId="73247C3C" w14:textId="77777777" w:rsidR="003F73E7" w:rsidRPr="008F231B" w:rsidRDefault="003F73E7" w:rsidP="00FF60D6">
            <w:r w:rsidRPr="008F231B">
              <w:t xml:space="preserve">Die Zugänglichkeit für Menschen mit Behinderungen zu öffentlichen Gebäuden und Anlagen sowie zum öffentlichen Verkehr wird </w:t>
            </w:r>
            <w:r w:rsidRPr="000E608C">
              <w:rPr>
                <w:b/>
                <w:bCs/>
                <w:i/>
                <w:iCs/>
              </w:rPr>
              <w:t>vorbildhaft</w:t>
            </w:r>
            <w:r w:rsidRPr="008F231B">
              <w:t xml:space="preserve"> umgesetzt</w:t>
            </w:r>
            <w:r>
              <w:t>.</w:t>
            </w:r>
          </w:p>
        </w:tc>
        <w:tc>
          <w:tcPr>
            <w:tcW w:w="1973" w:type="pct"/>
          </w:tcPr>
          <w:p w14:paraId="59BEFE76" w14:textId="77777777" w:rsidR="003F73E7" w:rsidRDefault="003F73E7" w:rsidP="00FF60D6">
            <w:r>
              <w:t xml:space="preserve">Der Grundsatz zu Hindernisfreiheit sollte explizit erwähnt werden unteranderem, weil die Versiegelung aufs technische Minimum reduziert werden soll. </w:t>
            </w:r>
          </w:p>
          <w:p w14:paraId="0F34C7AB" w14:textId="77777777" w:rsidR="003F73E7" w:rsidRPr="008F231B" w:rsidRDefault="003F73E7" w:rsidP="00FF60D6">
            <w:r>
              <w:lastRenderedPageBreak/>
              <w:t>Damit wird unterstrichen, dass die Zonen für öffentliche Nutzung der gesamten Bevölkerung zugänglich sein sollen, auch den Menschen mit Behinderungen.</w:t>
            </w:r>
          </w:p>
        </w:tc>
      </w:tr>
      <w:tr w:rsidR="003F73E7" w14:paraId="336E55DA" w14:textId="77777777" w:rsidTr="003F73E7">
        <w:tc>
          <w:tcPr>
            <w:tcW w:w="250" w:type="pct"/>
          </w:tcPr>
          <w:p w14:paraId="07169845" w14:textId="77777777" w:rsidR="003F73E7" w:rsidRDefault="003F73E7" w:rsidP="003F73E7">
            <w:pPr>
              <w:pStyle w:val="Listenabsatz"/>
              <w:numPr>
                <w:ilvl w:val="0"/>
                <w:numId w:val="19"/>
              </w:numPr>
            </w:pPr>
          </w:p>
        </w:tc>
        <w:tc>
          <w:tcPr>
            <w:tcW w:w="836" w:type="pct"/>
          </w:tcPr>
          <w:p w14:paraId="08DC3A27" w14:textId="77777777" w:rsidR="003F73E7" w:rsidRPr="008F231B" w:rsidRDefault="003F73E7" w:rsidP="00FF60D6">
            <w:r>
              <w:t>PVS</w:t>
            </w:r>
          </w:p>
        </w:tc>
        <w:tc>
          <w:tcPr>
            <w:tcW w:w="1941" w:type="pct"/>
          </w:tcPr>
          <w:p w14:paraId="03AFAEA8" w14:textId="77777777" w:rsidR="003F73E7" w:rsidRPr="008F231B" w:rsidRDefault="003F73E7" w:rsidP="00FF60D6">
            <w:r w:rsidRPr="00DB6159">
              <w:t>Es sei zu prüfen, ob alle Areale mit Schulhäusern prinzipiell eine um vier Meter höhere Fassadenhöhe erhalten sollen.</w:t>
            </w:r>
          </w:p>
        </w:tc>
        <w:tc>
          <w:tcPr>
            <w:tcW w:w="1973" w:type="pct"/>
          </w:tcPr>
          <w:p w14:paraId="05CC1743" w14:textId="77777777" w:rsidR="003F73E7" w:rsidRDefault="003F73E7" w:rsidP="00FF60D6">
            <w:r>
              <w:t xml:space="preserve">Die Stadt Bern hat immer wieder Probleme, genügend Schulraum zur Verfügung zu stellen. </w:t>
            </w:r>
          </w:p>
          <w:p w14:paraId="01A5099C" w14:textId="77777777" w:rsidR="003F73E7" w:rsidRDefault="003F73E7" w:rsidP="00FF60D6">
            <w:r>
              <w:t>Deshalb soll im weiteren Verfahren geprüft werden, sämtliche Areale mit Schulhäusern um vier Meter aufzustocken, um wo möglich ohne aufwendige Planerlassverfahren oder städtebaulichen Wettbewerb rascher mehr Schulraum bauen zu können.</w:t>
            </w:r>
          </w:p>
        </w:tc>
      </w:tr>
      <w:tr w:rsidR="003F73E7" w14:paraId="0CC5C526" w14:textId="77777777" w:rsidTr="003F73E7">
        <w:tc>
          <w:tcPr>
            <w:tcW w:w="250" w:type="pct"/>
          </w:tcPr>
          <w:p w14:paraId="2AE05E2B" w14:textId="77777777" w:rsidR="003F73E7" w:rsidRDefault="003F73E7" w:rsidP="003F73E7">
            <w:pPr>
              <w:pStyle w:val="Listenabsatz"/>
              <w:numPr>
                <w:ilvl w:val="0"/>
                <w:numId w:val="19"/>
              </w:numPr>
            </w:pPr>
          </w:p>
        </w:tc>
        <w:tc>
          <w:tcPr>
            <w:tcW w:w="836" w:type="pct"/>
          </w:tcPr>
          <w:p w14:paraId="7C897205" w14:textId="77777777" w:rsidR="003F73E7" w:rsidRDefault="003F73E7" w:rsidP="00FF60D6">
            <w:r>
              <w:t>PVS</w:t>
            </w:r>
          </w:p>
        </w:tc>
        <w:tc>
          <w:tcPr>
            <w:tcW w:w="1941" w:type="pct"/>
          </w:tcPr>
          <w:p w14:paraId="3FE81C92" w14:textId="77777777" w:rsidR="003F73E7" w:rsidRDefault="003F73E7" w:rsidP="00FF60D6">
            <w:r>
              <w:t>Neue mögliche Zonen</w:t>
            </w:r>
          </w:p>
          <w:p w14:paraId="469CDABD" w14:textId="77777777" w:rsidR="003F73E7" w:rsidRDefault="003F73E7" w:rsidP="00FF60D6"/>
          <w:p w14:paraId="0A806C5D" w14:textId="77777777" w:rsidR="003F73E7" w:rsidRPr="008F231B" w:rsidRDefault="003F73E7" w:rsidP="00FF60D6">
            <w:r>
              <w:t>Im weiteren Verfahren sei zu prüfen, weitere Areale mit Quartierplatz-Charakter einzubeziehen, die heute die Anforderungen einer urbanen Freifläche noch nicht erfüllen. Beispielsweise der Gilberte-de-</w:t>
            </w:r>
            <w:proofErr w:type="spellStart"/>
            <w:r>
              <w:t>Courgenay</w:t>
            </w:r>
            <w:proofErr w:type="spellEnd"/>
            <w:r>
              <w:t>-Platz.</w:t>
            </w:r>
          </w:p>
        </w:tc>
        <w:tc>
          <w:tcPr>
            <w:tcW w:w="1973" w:type="pct"/>
          </w:tcPr>
          <w:p w14:paraId="7BC9EE3E" w14:textId="77777777" w:rsidR="003F73E7" w:rsidRDefault="003F73E7" w:rsidP="00FF60D6">
            <w:r w:rsidRPr="00DB6159">
              <w:t>Mit der Umzonung zur urbanen Freifläche würde der planungsrechtliche Spielraum geschaffen, solche heute versiegelten Plätze im Rahmen der Klimaanpassungsmassnahmen zu entsiegeln und mit Baumkronen zu versehen.</w:t>
            </w:r>
          </w:p>
        </w:tc>
      </w:tr>
      <w:tr w:rsidR="003F73E7" w14:paraId="06FBCB25" w14:textId="77777777" w:rsidTr="003F73E7">
        <w:tc>
          <w:tcPr>
            <w:tcW w:w="250" w:type="pct"/>
          </w:tcPr>
          <w:p w14:paraId="1A2909C4" w14:textId="77777777" w:rsidR="003F73E7" w:rsidRDefault="003F73E7" w:rsidP="003F73E7">
            <w:pPr>
              <w:pStyle w:val="Listenabsatz"/>
              <w:numPr>
                <w:ilvl w:val="0"/>
                <w:numId w:val="19"/>
              </w:numPr>
            </w:pPr>
          </w:p>
        </w:tc>
        <w:tc>
          <w:tcPr>
            <w:tcW w:w="836" w:type="pct"/>
          </w:tcPr>
          <w:p w14:paraId="33685834" w14:textId="77777777" w:rsidR="003F73E7" w:rsidRDefault="003F73E7" w:rsidP="00FF60D6">
            <w:r>
              <w:t>PVS</w:t>
            </w:r>
          </w:p>
        </w:tc>
        <w:tc>
          <w:tcPr>
            <w:tcW w:w="1941" w:type="pct"/>
          </w:tcPr>
          <w:p w14:paraId="450C9EFA" w14:textId="77777777" w:rsidR="003F73E7" w:rsidRDefault="003F73E7" w:rsidP="00FF60D6">
            <w:r>
              <w:t>Neuer Absatz aufnehmen in BO Art. 24 und 24a:</w:t>
            </w:r>
          </w:p>
          <w:p w14:paraId="103BBFBB" w14:textId="77777777" w:rsidR="003F73E7" w:rsidRDefault="003F73E7" w:rsidP="00FF60D6"/>
          <w:p w14:paraId="5F37136B" w14:textId="77777777" w:rsidR="003F73E7" w:rsidRPr="00EF44D9" w:rsidRDefault="003F73E7" w:rsidP="00FF60D6">
            <w:r w:rsidRPr="00612695">
              <w:rPr>
                <w:b/>
                <w:bCs/>
                <w:i/>
                <w:iCs/>
              </w:rPr>
              <w:t>Bei Neubauten sowie beim Ersatz von Heizungs- und Warmwasseranlagen ist eine erneuerbare Wärmeversorgung auf</w:t>
            </w:r>
            <w:r w:rsidRPr="009E1E83">
              <w:rPr>
                <w:rFonts w:ascii="Segoe UI" w:eastAsia="Segoe UI" w:hAnsi="Segoe UI" w:cs="Segoe UI"/>
                <w:i/>
                <w:iCs/>
                <w:color w:val="222222"/>
              </w:rPr>
              <w:t xml:space="preserve"> </w:t>
            </w:r>
            <w:r w:rsidRPr="009E1E83">
              <w:rPr>
                <w:rFonts w:ascii="Arial" w:eastAsia="Segoe UI" w:hAnsi="Arial" w:cs="Arial"/>
                <w:b/>
                <w:bCs/>
                <w:i/>
                <w:iCs/>
                <w:color w:val="222222"/>
              </w:rPr>
              <w:t>Basis von Umweltenergie sicherzustellen. Wo ein Fernwärmeanschluss verfügbar und zweckmässig ist, soll dieser geprüft werden.</w:t>
            </w:r>
          </w:p>
        </w:tc>
        <w:tc>
          <w:tcPr>
            <w:tcW w:w="1973" w:type="pct"/>
          </w:tcPr>
          <w:p w14:paraId="5EF0C955" w14:textId="77777777" w:rsidR="003F73E7" w:rsidRDefault="003F73E7" w:rsidP="00FF60D6">
            <w:r>
              <w:t xml:space="preserve">Gemäss kantonalem Energiegesetz Art. 13 Abs. 1 </w:t>
            </w:r>
            <w:proofErr w:type="spellStart"/>
            <w:r>
              <w:t>lit</w:t>
            </w:r>
            <w:proofErr w:type="spellEnd"/>
            <w:r>
              <w:t>. a können die Gemeinden für Heizungen und Warmwasseraufbereitung bestimmte erneuerbare Energieträger vorsehen.</w:t>
            </w:r>
          </w:p>
          <w:p w14:paraId="5668BD6F" w14:textId="77777777" w:rsidR="003F73E7" w:rsidRDefault="003F73E7" w:rsidP="00FF60D6"/>
          <w:p w14:paraId="0B383953" w14:textId="77777777" w:rsidR="003F73E7" w:rsidRDefault="003F73E7" w:rsidP="00FF60D6">
            <w:r>
              <w:t xml:space="preserve">Die Stadt Bern soll als Vorbild vorangehen und in der </w:t>
            </w:r>
            <w:proofErr w:type="spellStart"/>
            <w:r>
              <w:t>ZöN</w:t>
            </w:r>
            <w:proofErr w:type="spellEnd"/>
            <w:r>
              <w:t>-Revision davon Gebrauch machen.</w:t>
            </w:r>
          </w:p>
        </w:tc>
      </w:tr>
      <w:tr w:rsidR="003F73E7" w14:paraId="740496FB" w14:textId="77777777" w:rsidTr="003F73E7">
        <w:tc>
          <w:tcPr>
            <w:tcW w:w="250" w:type="pct"/>
          </w:tcPr>
          <w:p w14:paraId="04AD0171" w14:textId="77777777" w:rsidR="003F73E7" w:rsidRDefault="003F73E7" w:rsidP="003F73E7">
            <w:pPr>
              <w:pStyle w:val="Listenabsatz"/>
              <w:numPr>
                <w:ilvl w:val="0"/>
                <w:numId w:val="19"/>
              </w:numPr>
            </w:pPr>
          </w:p>
        </w:tc>
        <w:tc>
          <w:tcPr>
            <w:tcW w:w="836" w:type="pct"/>
          </w:tcPr>
          <w:p w14:paraId="7C1D0BF6" w14:textId="77777777" w:rsidR="003F73E7" w:rsidRDefault="003F73E7" w:rsidP="00FF60D6">
            <w:r>
              <w:t>PVS</w:t>
            </w:r>
          </w:p>
        </w:tc>
        <w:tc>
          <w:tcPr>
            <w:tcW w:w="1941" w:type="pct"/>
          </w:tcPr>
          <w:p w14:paraId="0160DA40" w14:textId="77777777" w:rsidR="003F73E7" w:rsidRDefault="003F73E7" w:rsidP="00FF60D6">
            <w:r>
              <w:t xml:space="preserve">Neuer Absatz aufnehmen in BO Art. 24 und 24a: </w:t>
            </w:r>
          </w:p>
          <w:p w14:paraId="7BA182B7" w14:textId="77777777" w:rsidR="003F73E7" w:rsidRDefault="003F73E7" w:rsidP="00FF60D6"/>
          <w:p w14:paraId="7E20B2E5" w14:textId="77777777" w:rsidR="003F73E7" w:rsidRDefault="003F73E7" w:rsidP="00FF60D6">
            <w:r w:rsidRPr="00612695">
              <w:rPr>
                <w:b/>
                <w:bCs/>
                <w:i/>
                <w:iCs/>
              </w:rPr>
              <w:t>Bei Neubauten und wesentlichen Erweiterungen ist die gewichtete Gesamtenergiebilanz so festzulegen, dass sie über die kantonalen Mindestanforderungen hinausgehen und den städtischen Klimazielen entsprechen.</w:t>
            </w:r>
          </w:p>
        </w:tc>
        <w:tc>
          <w:tcPr>
            <w:tcW w:w="1973" w:type="pct"/>
          </w:tcPr>
          <w:p w14:paraId="477BEFB4" w14:textId="77777777" w:rsidR="003F73E7" w:rsidRDefault="003F73E7" w:rsidP="00FF60D6">
            <w:r>
              <w:t xml:space="preserve">Gemäss kantonalem Energiegesetz Art. 13 Abs. 1 </w:t>
            </w:r>
            <w:proofErr w:type="spellStart"/>
            <w:r>
              <w:t>lit</w:t>
            </w:r>
            <w:proofErr w:type="spellEnd"/>
            <w:r>
              <w:t>. b können die Gemeinden die gewichtete Gesamtenergieeffizienz weiter begrenzen, als der Kanton dies vorsieht.</w:t>
            </w:r>
          </w:p>
          <w:p w14:paraId="78A7B79C" w14:textId="77777777" w:rsidR="003F73E7" w:rsidRDefault="003F73E7" w:rsidP="00FF60D6"/>
          <w:p w14:paraId="553BD91A" w14:textId="77777777" w:rsidR="003F73E7" w:rsidRDefault="003F73E7" w:rsidP="00FF60D6">
            <w:r>
              <w:t xml:space="preserve">Die Stadt Bern soll in den </w:t>
            </w:r>
            <w:proofErr w:type="spellStart"/>
            <w:r>
              <w:t>ZöN</w:t>
            </w:r>
            <w:proofErr w:type="spellEnd"/>
            <w:r>
              <w:t xml:space="preserve"> und </w:t>
            </w:r>
            <w:proofErr w:type="spellStart"/>
            <w:r>
              <w:t>ZaI</w:t>
            </w:r>
            <w:proofErr w:type="spellEnd"/>
            <w:r>
              <w:t xml:space="preserve"> davon Gebrauch machen. Zwar haben die wichtigsten Grundstückbesitzenden Stadt, Kanton und Bund ihrerseits weitergehende Regelungen zur Energieeffizienz der Gebäude. Die Revision betrifft aber auch weitere Eigentümer, auch in Zonen mit Entwicklungspotential. Die konkrete Zahl soll im weiteren Planerlassverfahren festgelegt werden.</w:t>
            </w:r>
          </w:p>
        </w:tc>
      </w:tr>
      <w:tr w:rsidR="003F73E7" w14:paraId="4334984F" w14:textId="77777777" w:rsidTr="003F73E7">
        <w:tc>
          <w:tcPr>
            <w:tcW w:w="250" w:type="pct"/>
          </w:tcPr>
          <w:p w14:paraId="6F210188" w14:textId="77777777" w:rsidR="003F73E7" w:rsidRDefault="003F73E7" w:rsidP="003F73E7">
            <w:pPr>
              <w:pStyle w:val="Listenabsatz"/>
              <w:numPr>
                <w:ilvl w:val="0"/>
                <w:numId w:val="19"/>
              </w:numPr>
            </w:pPr>
          </w:p>
        </w:tc>
        <w:tc>
          <w:tcPr>
            <w:tcW w:w="836" w:type="pct"/>
          </w:tcPr>
          <w:p w14:paraId="6044C367" w14:textId="77777777" w:rsidR="003F73E7" w:rsidRDefault="003F73E7" w:rsidP="00FF60D6">
            <w:r>
              <w:t>PVS</w:t>
            </w:r>
          </w:p>
        </w:tc>
        <w:tc>
          <w:tcPr>
            <w:tcW w:w="1941" w:type="pct"/>
          </w:tcPr>
          <w:p w14:paraId="49093024" w14:textId="77777777" w:rsidR="003F73E7" w:rsidRDefault="003F73E7" w:rsidP="00FF60D6">
            <w:r>
              <w:t>Art. 24 Zonen für öffentliche Nutzungen:</w:t>
            </w:r>
          </w:p>
          <w:p w14:paraId="0088BA3C" w14:textId="77777777" w:rsidR="003F73E7" w:rsidRDefault="003F73E7" w:rsidP="00FF60D6"/>
          <w:p w14:paraId="185D4B84" w14:textId="77777777" w:rsidR="003F73E7" w:rsidRDefault="003F73E7" w:rsidP="00FF60D6">
            <w:r w:rsidRPr="00612695">
              <w:t xml:space="preserve">Abs. 7 Es ist ein möglichst grosser Anteil naturnaher und </w:t>
            </w:r>
            <w:r w:rsidRPr="00612695">
              <w:rPr>
                <w:b/>
                <w:bCs/>
                <w:i/>
                <w:iCs/>
              </w:rPr>
              <w:t>ökologisch wertvolle</w:t>
            </w:r>
            <w:r w:rsidRPr="00612695">
              <w:t xml:space="preserve"> Lebensräume und klimawirksame Flächen zu realisieren.</w:t>
            </w:r>
          </w:p>
        </w:tc>
        <w:tc>
          <w:tcPr>
            <w:tcW w:w="1973" w:type="pct"/>
          </w:tcPr>
          <w:p w14:paraId="4E26D7E0" w14:textId="77777777" w:rsidR="003F73E7" w:rsidRDefault="003F73E7" w:rsidP="00FF60D6">
            <w:r w:rsidRPr="00612695">
              <w:t>Angesichts der fortschreitenden Biodiversitätskrise ist es zentral, gezielt ökologisch wertvolle Lebensräume zu schaffen. Die Präzisierung des Begriffs “naturnah” gibt dieser Dringlichkeit mehr Gewicht.</w:t>
            </w:r>
          </w:p>
        </w:tc>
      </w:tr>
      <w:tr w:rsidR="003F73E7" w:rsidRPr="00612695" w14:paraId="39E783DB" w14:textId="77777777" w:rsidTr="003F73E7">
        <w:tc>
          <w:tcPr>
            <w:tcW w:w="250" w:type="pct"/>
          </w:tcPr>
          <w:p w14:paraId="53C3EE75" w14:textId="77777777" w:rsidR="003F73E7" w:rsidRDefault="003F73E7" w:rsidP="003F73E7">
            <w:pPr>
              <w:pStyle w:val="Listenabsatz"/>
              <w:numPr>
                <w:ilvl w:val="0"/>
                <w:numId w:val="19"/>
              </w:numPr>
            </w:pPr>
          </w:p>
        </w:tc>
        <w:tc>
          <w:tcPr>
            <w:tcW w:w="836" w:type="pct"/>
          </w:tcPr>
          <w:p w14:paraId="1E9FDD97" w14:textId="77777777" w:rsidR="003F73E7" w:rsidRDefault="003F73E7" w:rsidP="00FF60D6">
            <w:r w:rsidRPr="002A6526">
              <w:t>PVS</w:t>
            </w:r>
          </w:p>
        </w:tc>
        <w:tc>
          <w:tcPr>
            <w:tcW w:w="1941" w:type="pct"/>
          </w:tcPr>
          <w:p w14:paraId="7604B096" w14:textId="77777777" w:rsidR="003F73E7" w:rsidRDefault="003F73E7" w:rsidP="00FF60D6">
            <w:r>
              <w:t>Art. 24 Zonen für öffentliche Nutzungen</w:t>
            </w:r>
          </w:p>
          <w:p w14:paraId="2CF75651" w14:textId="77777777" w:rsidR="003F73E7" w:rsidRDefault="003F73E7" w:rsidP="00FF60D6"/>
          <w:p w14:paraId="27B72397" w14:textId="77777777" w:rsidR="003F73E7" w:rsidRDefault="003F73E7" w:rsidP="00FF60D6">
            <w:r>
              <w:t>Abs. 9 Bst. b)</w:t>
            </w:r>
          </w:p>
          <w:p w14:paraId="37DD1A3E" w14:textId="77777777" w:rsidR="003F73E7" w:rsidRDefault="003F73E7" w:rsidP="00FF60D6">
            <w:r w:rsidRPr="00E4214E">
              <w:rPr>
                <w:strike/>
              </w:rPr>
              <w:t>Kleinbauten, Erschliessungsanlagen, Haltestellen des öffentlichen Verkehrs, Parkierungsanlagen, Einfriedungen, Vordächer, Spiel- und Sportplätze, bodennahe Sportanlagen, Gartenanlagen, Kompostieranlagen,</w:t>
            </w:r>
            <w:r w:rsidRPr="00E4214E">
              <w:rPr>
                <w:b/>
                <w:bCs/>
                <w:i/>
                <w:iCs/>
                <w:strike/>
              </w:rPr>
              <w:t xml:space="preserve"> </w:t>
            </w:r>
            <w:r w:rsidRPr="00E4214E">
              <w:t xml:space="preserve">standortgebundene Sickergruben und </w:t>
            </w:r>
            <w:r w:rsidRPr="00E4214E">
              <w:rPr>
                <w:b/>
                <w:bCs/>
                <w:i/>
                <w:iCs/>
              </w:rPr>
              <w:t>standortgebundene</w:t>
            </w:r>
            <w:r w:rsidRPr="00E4214E">
              <w:rPr>
                <w:b/>
                <w:bCs/>
              </w:rPr>
              <w:t xml:space="preserve"> </w:t>
            </w:r>
            <w:r w:rsidRPr="00E4214E">
              <w:t>Fluchttunnel inklusive Ausgang und ähnliche Bauten oder Anlage dürfen zwischen Wald und Wald-Baulinie bzw. in Unterschreitung des ordentlichen Waldabstands errichtet werden, sofern ein Mindestabstand von 5,00 m zur Waldgrenze eingehalten wird;</w:t>
            </w:r>
          </w:p>
        </w:tc>
        <w:tc>
          <w:tcPr>
            <w:tcW w:w="1973" w:type="pct"/>
          </w:tcPr>
          <w:p w14:paraId="384493D1" w14:textId="77777777" w:rsidR="003F73E7" w:rsidRPr="00612695" w:rsidRDefault="003F73E7" w:rsidP="00FF60D6">
            <w:r w:rsidRPr="00E4214E">
              <w:t>Ökologisch aufgewertete Waldränder sind wertvolle Flächen für die Biodiversität und im Sinne der Vernetzung von Lebensräumen sind diese Übergänge zwischen verschiedenen Lebensräumen wichtig. Der ordentliche Waldabstand soll daher nur bei Nutzungsformen mit hoher Relevanz für die öffentliche Nutzung oder für standortgebundene Anlagen unterschritten werden dürfen</w:t>
            </w:r>
            <w:r>
              <w:t>.</w:t>
            </w:r>
          </w:p>
        </w:tc>
      </w:tr>
      <w:tr w:rsidR="003F73E7" w14:paraId="0AE4CF5F" w14:textId="77777777" w:rsidTr="003F73E7">
        <w:tc>
          <w:tcPr>
            <w:tcW w:w="250" w:type="pct"/>
          </w:tcPr>
          <w:p w14:paraId="01BA349D" w14:textId="77777777" w:rsidR="003F73E7" w:rsidRDefault="003F73E7" w:rsidP="003F73E7">
            <w:pPr>
              <w:pStyle w:val="Listenabsatz"/>
              <w:numPr>
                <w:ilvl w:val="0"/>
                <w:numId w:val="19"/>
              </w:numPr>
            </w:pPr>
          </w:p>
        </w:tc>
        <w:tc>
          <w:tcPr>
            <w:tcW w:w="836" w:type="pct"/>
          </w:tcPr>
          <w:p w14:paraId="5F812C85" w14:textId="77777777" w:rsidR="003F73E7" w:rsidRDefault="003F73E7" w:rsidP="00FF60D6">
            <w:r>
              <w:t>PVS</w:t>
            </w:r>
          </w:p>
        </w:tc>
        <w:tc>
          <w:tcPr>
            <w:tcW w:w="1941" w:type="pct"/>
          </w:tcPr>
          <w:p w14:paraId="7995E114" w14:textId="77777777" w:rsidR="003F73E7" w:rsidRDefault="003F73E7" w:rsidP="00FF60D6">
            <w:r w:rsidRPr="00EF44D9">
              <w:t>Art. 87 Stimmberechtigte und Stadtrat</w:t>
            </w:r>
          </w:p>
          <w:p w14:paraId="05E8A94A" w14:textId="77777777" w:rsidR="003F73E7" w:rsidRDefault="003F73E7" w:rsidP="00FF60D6"/>
          <w:p w14:paraId="49B33A73" w14:textId="77777777" w:rsidR="003F73E7" w:rsidRDefault="003F73E7" w:rsidP="00FF60D6">
            <w:r>
              <w:t>Änderungen in den Anhängen 2 und 2a sollen weiterhin dem obligatorischen Referendum unterstehen.</w:t>
            </w:r>
          </w:p>
        </w:tc>
        <w:tc>
          <w:tcPr>
            <w:tcW w:w="1973" w:type="pct"/>
          </w:tcPr>
          <w:p w14:paraId="7BD61AF3" w14:textId="77777777" w:rsidR="003F73E7" w:rsidRDefault="003F73E7" w:rsidP="00FF60D6">
            <w:r>
              <w:t xml:space="preserve">Die Vorlage schlägt vor, Änderungen in den Zweckbestimmungen und Grundzügen der Überbauung von </w:t>
            </w:r>
            <w:proofErr w:type="spellStart"/>
            <w:r>
              <w:t>ZöN</w:t>
            </w:r>
            <w:proofErr w:type="spellEnd"/>
            <w:r>
              <w:t xml:space="preserve"> und </w:t>
            </w:r>
            <w:proofErr w:type="spellStart"/>
            <w:r>
              <w:t>ZaI</w:t>
            </w:r>
            <w:proofErr w:type="spellEnd"/>
            <w:r>
              <w:t>, die in den Anhängen festgelegt werden, nur noch dem fakultativen Referendum zu unterstellen.</w:t>
            </w:r>
          </w:p>
          <w:p w14:paraId="5FD4DFED" w14:textId="77777777" w:rsidR="003F73E7" w:rsidRDefault="003F73E7" w:rsidP="00FF60D6"/>
          <w:p w14:paraId="049F667C" w14:textId="77777777" w:rsidR="003F73E7" w:rsidRDefault="003F73E7" w:rsidP="00FF60D6">
            <w:r>
              <w:t>Die Planungserklärung möchte solche Änderungen weiterhin dem obligatorischen Referendum unterstellen. So ist der Einbezug der ganzen Bevölkerung gewährleistet.</w:t>
            </w:r>
          </w:p>
          <w:p w14:paraId="722B5F49" w14:textId="77777777" w:rsidR="003F73E7" w:rsidRDefault="003F73E7" w:rsidP="00FF60D6"/>
          <w:p w14:paraId="04F37539" w14:textId="77777777" w:rsidR="003F73E7" w:rsidRDefault="003F73E7" w:rsidP="00FF60D6">
            <w:r w:rsidRPr="002A6526">
              <w:t>Gegenargument: In den Volksabstimmungen werden Zonenplanänderungen regelmässig mit über 80% Ja angenommen. Deshalb ist der Zeitgewinn (6-12 Monate) zu priorisieren.</w:t>
            </w:r>
          </w:p>
        </w:tc>
      </w:tr>
      <w:tr w:rsidR="003F73E7" w:rsidRPr="00336786" w14:paraId="77E5C8D9" w14:textId="77777777" w:rsidTr="003F73E7">
        <w:tc>
          <w:tcPr>
            <w:tcW w:w="250" w:type="pct"/>
          </w:tcPr>
          <w:p w14:paraId="06F423D1" w14:textId="77777777" w:rsidR="003F73E7" w:rsidRDefault="003F73E7" w:rsidP="003F73E7">
            <w:pPr>
              <w:pStyle w:val="Listenabsatz"/>
              <w:numPr>
                <w:ilvl w:val="0"/>
                <w:numId w:val="19"/>
              </w:numPr>
            </w:pPr>
          </w:p>
        </w:tc>
        <w:tc>
          <w:tcPr>
            <w:tcW w:w="836" w:type="pct"/>
          </w:tcPr>
          <w:p w14:paraId="5F0EB428" w14:textId="77777777" w:rsidR="003F73E7" w:rsidRDefault="003F73E7" w:rsidP="00FF60D6">
            <w:r w:rsidRPr="002A6526">
              <w:t>PVS</w:t>
            </w:r>
          </w:p>
        </w:tc>
        <w:tc>
          <w:tcPr>
            <w:tcW w:w="1941" w:type="pct"/>
          </w:tcPr>
          <w:p w14:paraId="52225B51" w14:textId="77777777" w:rsidR="003F73E7" w:rsidRDefault="003F73E7" w:rsidP="00FF60D6">
            <w:r w:rsidRPr="00EB4A97">
              <w:t>Art. 87 Stimmberechtigte und Stadtrat</w:t>
            </w:r>
          </w:p>
          <w:p w14:paraId="0B1604C7" w14:textId="77777777" w:rsidR="003F73E7" w:rsidRPr="00EB4A97" w:rsidRDefault="003F73E7" w:rsidP="00FF60D6"/>
          <w:p w14:paraId="66C1EB4E" w14:textId="77777777" w:rsidR="003F73E7" w:rsidRDefault="003F73E7" w:rsidP="00FF60D6">
            <w:r>
              <w:t xml:space="preserve">1bis (neu) Unter Vorbehalt der fakultativen Volksabstimmung ist der Stadtrat zuständig für Änderungen </w:t>
            </w:r>
            <w:r>
              <w:lastRenderedPageBreak/>
              <w:t xml:space="preserve">bestehender Festlegungen in den Anhängen II und </w:t>
            </w:r>
            <w:proofErr w:type="spellStart"/>
            <w:r>
              <w:t>IIa</w:t>
            </w:r>
            <w:proofErr w:type="spellEnd"/>
            <w:r>
              <w:t>.</w:t>
            </w:r>
          </w:p>
          <w:p w14:paraId="386D0533" w14:textId="77777777" w:rsidR="003F73E7" w:rsidRDefault="003F73E7" w:rsidP="00FF60D6"/>
          <w:p w14:paraId="496D44A7" w14:textId="77777777" w:rsidR="003F73E7" w:rsidRDefault="003F73E7" w:rsidP="00FF60D6"/>
          <w:p w14:paraId="7FEF8D4F" w14:textId="77777777" w:rsidR="003F73E7" w:rsidRDefault="003F73E7" w:rsidP="00FF60D6">
            <w:r>
              <w:t>Planungserklärung:</w:t>
            </w:r>
          </w:p>
          <w:p w14:paraId="240D1D51" w14:textId="77777777" w:rsidR="003F73E7" w:rsidRDefault="003F73E7" w:rsidP="00FF60D6"/>
          <w:p w14:paraId="262A6B98" w14:textId="77777777" w:rsidR="003F73E7" w:rsidRDefault="003F73E7" w:rsidP="00FF60D6">
            <w:pPr>
              <w:rPr>
                <w:rFonts w:ascii="Arial" w:hAnsi="Arial"/>
              </w:rPr>
            </w:pPr>
            <w:r>
              <w:t>Es ist zu prüfen, wie die Mitbestimmung der Quartierbevölkerung bei einer Änderung der bestehenden Festlegung gestärkt werden kann. Dabei sind insbesondere folgende Vorschläge zu prüfen:</w:t>
            </w:r>
          </w:p>
          <w:p w14:paraId="446E5E6A" w14:textId="77777777" w:rsidR="003F73E7" w:rsidRDefault="003F73E7" w:rsidP="003F73E7">
            <w:pPr>
              <w:numPr>
                <w:ilvl w:val="0"/>
                <w:numId w:val="18"/>
              </w:numPr>
            </w:pPr>
            <w:r>
              <w:t>obligatorische Anhörung der Quartierkommissionen mit Antragsrecht für den Stadtrat.</w:t>
            </w:r>
          </w:p>
          <w:p w14:paraId="5928EB30" w14:textId="77777777" w:rsidR="003F73E7" w:rsidRPr="008103BC" w:rsidRDefault="003F73E7" w:rsidP="003F73E7">
            <w:pPr>
              <w:numPr>
                <w:ilvl w:val="0"/>
                <w:numId w:val="18"/>
              </w:numPr>
            </w:pPr>
            <w:r>
              <w:t>Reduktion der nötigen Unterschriften für das Fakultative Referendum.</w:t>
            </w:r>
          </w:p>
        </w:tc>
        <w:tc>
          <w:tcPr>
            <w:tcW w:w="1973" w:type="pct"/>
          </w:tcPr>
          <w:p w14:paraId="11D372BF" w14:textId="77777777" w:rsidR="003F73E7" w:rsidRPr="00336786" w:rsidRDefault="003F73E7" w:rsidP="00FF60D6">
            <w:r w:rsidRPr="00EB4A97">
              <w:lastRenderedPageBreak/>
              <w:t>Grundsätzlich scheint es sinnvoll, die Änderung der Festlegung in Stadtratskompetenz anzusiedeln. Dies verhindert unnötige Volksabstimmungen und verschlankt die Verfahren. Trotzdem sollte die Bevölke</w:t>
            </w:r>
            <w:r w:rsidRPr="00EB4A97">
              <w:lastRenderedPageBreak/>
              <w:t>rung bei etwas umstritteneren Vorlagen ein Mitbestimmungsrecht haben. Die Hürden des Fakultativen Referendums sind hier zu hoch angesetzt und sollten gelockert werden. Alternativ könnte das Quartier via Quartierkommission stärker in die Entscheidungsprozesse eingebunden werden.</w:t>
            </w:r>
          </w:p>
        </w:tc>
      </w:tr>
      <w:tr w:rsidR="003F73E7" w:rsidRPr="00612695" w14:paraId="48EF2360" w14:textId="77777777" w:rsidTr="003F73E7">
        <w:tc>
          <w:tcPr>
            <w:tcW w:w="250" w:type="pct"/>
          </w:tcPr>
          <w:p w14:paraId="45572744" w14:textId="77777777" w:rsidR="003F73E7" w:rsidRDefault="003F73E7" w:rsidP="003F73E7">
            <w:pPr>
              <w:pStyle w:val="Listenabsatz"/>
              <w:numPr>
                <w:ilvl w:val="0"/>
                <w:numId w:val="19"/>
              </w:numPr>
            </w:pPr>
          </w:p>
        </w:tc>
        <w:tc>
          <w:tcPr>
            <w:tcW w:w="836" w:type="pct"/>
          </w:tcPr>
          <w:p w14:paraId="3B8A2E0D" w14:textId="77777777" w:rsidR="003F73E7" w:rsidRPr="00612695" w:rsidRDefault="003F73E7" w:rsidP="00FF60D6">
            <w:pPr>
              <w:rPr>
                <w:highlight w:val="yellow"/>
              </w:rPr>
            </w:pPr>
            <w:r w:rsidRPr="0059136A">
              <w:t>PVS</w:t>
            </w:r>
          </w:p>
        </w:tc>
        <w:tc>
          <w:tcPr>
            <w:tcW w:w="1941" w:type="pct"/>
          </w:tcPr>
          <w:p w14:paraId="3F15741A" w14:textId="77777777" w:rsidR="003F73E7" w:rsidRPr="002A6526" w:rsidRDefault="003F73E7" w:rsidP="00FF60D6">
            <w:r w:rsidRPr="002A6526">
              <w:t>Grundzüge der Überbauung und Gestaltung der Standortfestlegung für Freiräume und Sportflächen:</w:t>
            </w:r>
          </w:p>
          <w:p w14:paraId="3513D8F2" w14:textId="77777777" w:rsidR="003F73E7" w:rsidRDefault="003F73E7" w:rsidP="00FF60D6"/>
          <w:p w14:paraId="55768B0A" w14:textId="77777777" w:rsidR="003F73E7" w:rsidRPr="00612695" w:rsidRDefault="003F73E7" w:rsidP="00FF60D6">
            <w:r w:rsidRPr="00612695">
              <w:rPr>
                <w:u w:val="single"/>
              </w:rPr>
              <w:t xml:space="preserve">FG: Grüner Freiraum </w:t>
            </w:r>
            <w:r w:rsidRPr="00612695">
              <w:br/>
              <w:t>Es sind keine Bauten zulässig.</w:t>
            </w:r>
          </w:p>
          <w:p w14:paraId="3FC0D147" w14:textId="77777777" w:rsidR="003F73E7" w:rsidRDefault="003F73E7" w:rsidP="00FF60D6">
            <w:r w:rsidRPr="00612695">
              <w:t xml:space="preserve">Minimale Grünflächenziffer 0.9. </w:t>
            </w:r>
            <w:r w:rsidRPr="00612695">
              <w:rPr>
                <w:b/>
                <w:bCs/>
                <w:i/>
                <w:iCs/>
              </w:rPr>
              <w:t>Der Anteil naturnaher und ökologisch wertvoller Lebensraum beträgt mindestens 25%</w:t>
            </w:r>
            <w:r>
              <w:rPr>
                <w:b/>
                <w:bCs/>
                <w:i/>
                <w:iCs/>
              </w:rPr>
              <w:t>.</w:t>
            </w:r>
          </w:p>
        </w:tc>
        <w:tc>
          <w:tcPr>
            <w:tcW w:w="1973" w:type="pct"/>
          </w:tcPr>
          <w:p w14:paraId="6329780B" w14:textId="77777777" w:rsidR="003F73E7" w:rsidRPr="00612695" w:rsidRDefault="003F73E7" w:rsidP="00FF60D6">
            <w:r w:rsidRPr="00E4214E">
              <w:t xml:space="preserve">Das Biodiversitätskonzept 2025-2035 legt in Ziel 3.4 für jede Freiraumkategorie des Verwaltungs- und Finanzvermögens der Stadt einen kategoriespezifischen Anteil an naturnahen Lebensräumen fest. Damit diese Werte auch eingehalten werden, sollen sie in den entsprechenden Freiraumkategorien der </w:t>
            </w:r>
            <w:proofErr w:type="spellStart"/>
            <w:r w:rsidRPr="00E4214E">
              <w:t>ZöN</w:t>
            </w:r>
            <w:proofErr w:type="spellEnd"/>
            <w:r w:rsidRPr="00E4214E">
              <w:t xml:space="preserve"> verbindlich festgeschrieben werden. Es wird vorgeschlagen für FG den Zielwert für Stadtparks zu übernehmen, für FGB und FU den Zielwert für Schulanlagen oder Familiengärten und für FS den Zielwert für Sportanlagen.</w:t>
            </w:r>
          </w:p>
        </w:tc>
      </w:tr>
      <w:tr w:rsidR="003F73E7" w:rsidRPr="00612695" w14:paraId="7CEED285" w14:textId="77777777" w:rsidTr="003F73E7">
        <w:tc>
          <w:tcPr>
            <w:tcW w:w="250" w:type="pct"/>
          </w:tcPr>
          <w:p w14:paraId="192CEA80" w14:textId="77777777" w:rsidR="003F73E7" w:rsidRDefault="003F73E7" w:rsidP="003F73E7">
            <w:pPr>
              <w:pStyle w:val="Listenabsatz"/>
              <w:numPr>
                <w:ilvl w:val="0"/>
                <w:numId w:val="19"/>
              </w:numPr>
            </w:pPr>
          </w:p>
        </w:tc>
        <w:tc>
          <w:tcPr>
            <w:tcW w:w="836" w:type="pct"/>
          </w:tcPr>
          <w:p w14:paraId="6B2CF50F" w14:textId="77777777" w:rsidR="003F73E7" w:rsidRPr="00612695" w:rsidRDefault="003F73E7" w:rsidP="00FF60D6">
            <w:pPr>
              <w:rPr>
                <w:highlight w:val="yellow"/>
              </w:rPr>
            </w:pPr>
            <w:r w:rsidRPr="008103BC">
              <w:t>PVS</w:t>
            </w:r>
          </w:p>
        </w:tc>
        <w:tc>
          <w:tcPr>
            <w:tcW w:w="1941" w:type="pct"/>
          </w:tcPr>
          <w:p w14:paraId="36C22202" w14:textId="77777777" w:rsidR="003F73E7" w:rsidRPr="003647C1" w:rsidRDefault="003F73E7" w:rsidP="00FF60D6">
            <w:r w:rsidRPr="00612695">
              <w:rPr>
                <w:u w:val="single"/>
              </w:rPr>
              <w:t>FG: Grüner Freiraum</w:t>
            </w:r>
            <w:r>
              <w:rPr>
                <w:u w:val="single"/>
              </w:rPr>
              <w:t xml:space="preserve"> mit Bebauung</w:t>
            </w:r>
            <w:r w:rsidRPr="00612695">
              <w:rPr>
                <w:u w:val="single"/>
              </w:rPr>
              <w:t xml:space="preserve"> </w:t>
            </w:r>
          </w:p>
          <w:p w14:paraId="509F6D62" w14:textId="77777777" w:rsidR="003F73E7" w:rsidRPr="00291D7B" w:rsidRDefault="003F73E7" w:rsidP="00FF60D6">
            <w:r w:rsidRPr="00291D7B">
              <w:t>Maximale Geschossflächenziffer oberirdisch 0.1, maximale</w:t>
            </w:r>
            <w:r>
              <w:t xml:space="preserve"> </w:t>
            </w:r>
            <w:r w:rsidRPr="00291D7B">
              <w:t>Fassadenhöhe traufseitig</w:t>
            </w:r>
          </w:p>
          <w:p w14:paraId="0F342D75" w14:textId="77777777" w:rsidR="003F73E7" w:rsidRPr="008103BC" w:rsidRDefault="003F73E7" w:rsidP="00FF60D6">
            <w:pPr>
              <w:rPr>
                <w:b/>
                <w:bCs/>
              </w:rPr>
            </w:pPr>
            <w:r w:rsidRPr="00291D7B">
              <w:t>5,00m, minimale Grünflächenziffer 0.8.</w:t>
            </w:r>
            <w:r w:rsidRPr="00291D7B">
              <w:rPr>
                <w:i/>
                <w:iCs/>
              </w:rPr>
              <w:t xml:space="preserve"> </w:t>
            </w:r>
            <w:r w:rsidRPr="00291D7B">
              <w:rPr>
                <w:b/>
                <w:bCs/>
                <w:i/>
                <w:iCs/>
              </w:rPr>
              <w:t>Der Anteil naturnaher und ökologisch wertvoller Lebensraum beträgt mindestens 20%.</w:t>
            </w:r>
          </w:p>
        </w:tc>
        <w:tc>
          <w:tcPr>
            <w:tcW w:w="1973" w:type="pct"/>
          </w:tcPr>
          <w:p w14:paraId="5FC0A7B6" w14:textId="77777777" w:rsidR="003F73E7" w:rsidRPr="00612695" w:rsidRDefault="003F73E7" w:rsidP="00FF60D6">
            <w:r w:rsidRPr="00E4214E">
              <w:t xml:space="preserve">Das Biodiversitätskonzept 2025-2035 legt in Ziel 3.4 für jede Freiraumkategorie des Verwaltungs- und Finanzvermögens der Stadt einen kategoriespezifischen Anteil an naturnahen Lebensräumen fest. Damit diese Werte auch eingehalten werden, sollen sie in den entsprechenden Freiraumkategorien der </w:t>
            </w:r>
            <w:proofErr w:type="spellStart"/>
            <w:r w:rsidRPr="00E4214E">
              <w:t>ZöN</w:t>
            </w:r>
            <w:proofErr w:type="spellEnd"/>
            <w:r w:rsidRPr="00E4214E">
              <w:t xml:space="preserve"> verbindlich festgeschrieben werden. Es wird vorgeschlagen für FG den Zielwert für Stadtparks zu übernehmen, für FGB und FU den Zielwert für Schulanlagen oder Familiengärten und für FS den Zielwert für Sportanlagen.</w:t>
            </w:r>
          </w:p>
        </w:tc>
      </w:tr>
      <w:tr w:rsidR="003F73E7" w:rsidRPr="00612695" w14:paraId="712B1236" w14:textId="77777777" w:rsidTr="003F73E7">
        <w:tc>
          <w:tcPr>
            <w:tcW w:w="250" w:type="pct"/>
          </w:tcPr>
          <w:p w14:paraId="710F3D9C" w14:textId="77777777" w:rsidR="003F73E7" w:rsidRDefault="003F73E7" w:rsidP="003F73E7">
            <w:pPr>
              <w:pStyle w:val="Listenabsatz"/>
              <w:numPr>
                <w:ilvl w:val="0"/>
                <w:numId w:val="19"/>
              </w:numPr>
            </w:pPr>
          </w:p>
        </w:tc>
        <w:tc>
          <w:tcPr>
            <w:tcW w:w="836" w:type="pct"/>
          </w:tcPr>
          <w:p w14:paraId="70BB8F44" w14:textId="77777777" w:rsidR="003F73E7" w:rsidRPr="00612695" w:rsidRDefault="003F73E7" w:rsidP="00FF60D6">
            <w:pPr>
              <w:rPr>
                <w:highlight w:val="yellow"/>
              </w:rPr>
            </w:pPr>
            <w:r w:rsidRPr="008103BC">
              <w:t>PVS</w:t>
            </w:r>
          </w:p>
        </w:tc>
        <w:tc>
          <w:tcPr>
            <w:tcW w:w="1941" w:type="pct"/>
          </w:tcPr>
          <w:p w14:paraId="66741ECF" w14:textId="77777777" w:rsidR="003F73E7" w:rsidRPr="003647C1" w:rsidRDefault="003F73E7" w:rsidP="00FF60D6">
            <w:r w:rsidRPr="00612695">
              <w:rPr>
                <w:u w:val="single"/>
              </w:rPr>
              <w:t>FU: Urbaner Freiraum</w:t>
            </w:r>
          </w:p>
          <w:p w14:paraId="0FCED5D3" w14:textId="77777777" w:rsidR="003F73E7" w:rsidRPr="00612695" w:rsidRDefault="003F73E7" w:rsidP="00FF60D6">
            <w:r w:rsidRPr="00612695">
              <w:t xml:space="preserve">Maximale Geschossflächenziffer oberirdisch 0.1 bis zu maximal 30m2 anrechenbare Geschossfläche, </w:t>
            </w:r>
            <w:r w:rsidRPr="00612695">
              <w:lastRenderedPageBreak/>
              <w:t>maximale Fassadenhöhe traufseitig 4,00m, maximaler Abflussbeiwert 0.6, minimale Baumkronenabdeckung</w:t>
            </w:r>
            <w:r>
              <w:t xml:space="preserve"> </w:t>
            </w:r>
            <w:r w:rsidRPr="00612695">
              <w:t>von 50% (Projektion 20 Jahre</w:t>
            </w:r>
          </w:p>
          <w:p w14:paraId="0CEDC557" w14:textId="77777777" w:rsidR="003F73E7" w:rsidRPr="008103BC" w:rsidRDefault="003F73E7" w:rsidP="00FF60D6">
            <w:pPr>
              <w:rPr>
                <w:b/>
                <w:bCs/>
              </w:rPr>
            </w:pPr>
            <w:r w:rsidRPr="00612695">
              <w:t xml:space="preserve">ab Pflanzung). </w:t>
            </w:r>
            <w:r w:rsidRPr="00612695">
              <w:rPr>
                <w:b/>
                <w:bCs/>
                <w:i/>
                <w:iCs/>
              </w:rPr>
              <w:t>Der Anteil naturnaher und ökologisch wertvoller Lebensraum beträgt mindestens 20%.</w:t>
            </w:r>
          </w:p>
        </w:tc>
        <w:tc>
          <w:tcPr>
            <w:tcW w:w="1973" w:type="pct"/>
          </w:tcPr>
          <w:p w14:paraId="18B84B3D" w14:textId="77777777" w:rsidR="003F73E7" w:rsidRPr="00612695" w:rsidRDefault="003F73E7" w:rsidP="00FF60D6">
            <w:r w:rsidRPr="00E4214E">
              <w:lastRenderedPageBreak/>
              <w:t>Das Biodiversitätskonzept 2025-2035 legt in Ziel 3.4 für jede Freiraumkategorie des Verwaltungs- und Fi</w:t>
            </w:r>
            <w:r w:rsidRPr="00E4214E">
              <w:lastRenderedPageBreak/>
              <w:t xml:space="preserve">nanzvermögens der Stadt einen kategoriespezifischen Anteil an naturnahen Lebensräumen fest. Damit diese Werte auch eingehalten werden, sollen sie in den entsprechenden Freiraumkategorien der </w:t>
            </w:r>
            <w:proofErr w:type="spellStart"/>
            <w:r w:rsidRPr="00E4214E">
              <w:t>ZöN</w:t>
            </w:r>
            <w:proofErr w:type="spellEnd"/>
            <w:r w:rsidRPr="00E4214E">
              <w:t xml:space="preserve"> verbindlich festgeschrieben werden. Es wird vorgeschlagen für FG den Zielwert für Stadtparks zu übernehmen, für FGB und FU den Zielwert für Schulanlagen oder Familiengärten und für FS den Zielwert für Sportanlagen.</w:t>
            </w:r>
          </w:p>
        </w:tc>
      </w:tr>
      <w:tr w:rsidR="003F73E7" w:rsidRPr="00612695" w14:paraId="0AF43C6C" w14:textId="77777777" w:rsidTr="003F73E7">
        <w:tc>
          <w:tcPr>
            <w:tcW w:w="250" w:type="pct"/>
          </w:tcPr>
          <w:p w14:paraId="1C66A485" w14:textId="77777777" w:rsidR="003F73E7" w:rsidRDefault="003F73E7" w:rsidP="003F73E7">
            <w:pPr>
              <w:pStyle w:val="Listenabsatz"/>
              <w:numPr>
                <w:ilvl w:val="0"/>
                <w:numId w:val="19"/>
              </w:numPr>
            </w:pPr>
          </w:p>
        </w:tc>
        <w:tc>
          <w:tcPr>
            <w:tcW w:w="836" w:type="pct"/>
          </w:tcPr>
          <w:p w14:paraId="28C24262" w14:textId="77777777" w:rsidR="003F73E7" w:rsidRPr="00612695" w:rsidRDefault="003F73E7" w:rsidP="00FF60D6">
            <w:pPr>
              <w:rPr>
                <w:highlight w:val="yellow"/>
              </w:rPr>
            </w:pPr>
            <w:r w:rsidRPr="008103BC">
              <w:t>PVS</w:t>
            </w:r>
          </w:p>
        </w:tc>
        <w:tc>
          <w:tcPr>
            <w:tcW w:w="1941" w:type="pct"/>
          </w:tcPr>
          <w:p w14:paraId="3F7968B1" w14:textId="77777777" w:rsidR="003F73E7" w:rsidRPr="002A6526" w:rsidRDefault="003F73E7" w:rsidP="00FF60D6">
            <w:pPr>
              <w:rPr>
                <w:u w:val="single"/>
              </w:rPr>
            </w:pPr>
            <w:r w:rsidRPr="000D3ABB">
              <w:rPr>
                <w:u w:val="single"/>
              </w:rPr>
              <w:t xml:space="preserve">FS: Freiraum für Sport </w:t>
            </w:r>
            <w:r w:rsidRPr="002A6526">
              <w:rPr>
                <w:u w:val="single"/>
              </w:rPr>
              <w:t>und Freize</w:t>
            </w:r>
            <w:r w:rsidRPr="001B3DDD">
              <w:rPr>
                <w:u w:val="single"/>
              </w:rPr>
              <w:t>it</w:t>
            </w:r>
          </w:p>
          <w:p w14:paraId="2FB225E5" w14:textId="77777777" w:rsidR="003F73E7" w:rsidRDefault="003F73E7" w:rsidP="00FF60D6">
            <w:r w:rsidRPr="000D3ABB">
              <w:t>Maximale Geschossflächenziffer oberirdisch 0.1, maximale</w:t>
            </w:r>
            <w:r>
              <w:t xml:space="preserve"> </w:t>
            </w:r>
            <w:r w:rsidRPr="000D3ABB">
              <w:t>Fassadenhöhe traufseitig</w:t>
            </w:r>
            <w:r>
              <w:t xml:space="preserve"> </w:t>
            </w:r>
            <w:r w:rsidRPr="000D3ABB">
              <w:t xml:space="preserve">9,00 m. </w:t>
            </w:r>
            <w:r w:rsidRPr="000D3ABB">
              <w:rPr>
                <w:b/>
                <w:bCs/>
                <w:i/>
                <w:iCs/>
              </w:rPr>
              <w:t>Der Anteil naturnaher und ökologisch wertvoller Lebensraum beträgt mindestens 15%.</w:t>
            </w:r>
            <w:r w:rsidRPr="000D3ABB">
              <w:t xml:space="preserve"> </w:t>
            </w:r>
          </w:p>
        </w:tc>
        <w:tc>
          <w:tcPr>
            <w:tcW w:w="1973" w:type="pct"/>
          </w:tcPr>
          <w:p w14:paraId="606482A1" w14:textId="77777777" w:rsidR="003F73E7" w:rsidRPr="00612695" w:rsidRDefault="003F73E7" w:rsidP="00FF60D6">
            <w:r w:rsidRPr="00E4214E">
              <w:t xml:space="preserve">Das Biodiversitätskonzept 2025-2035 legt in Ziel 3.4 für jede Freiraumkategorie des Verwaltungs- und Finanzvermögens der Stadt einen kategoriespezifischen Anteil an naturnahen Lebensräumen fest. Damit diese Werte auch eingehalten werden, sollen sie in den entsprechenden Freiraumkategorien der </w:t>
            </w:r>
            <w:proofErr w:type="spellStart"/>
            <w:r w:rsidRPr="00E4214E">
              <w:t>ZöN</w:t>
            </w:r>
            <w:proofErr w:type="spellEnd"/>
            <w:r w:rsidRPr="00E4214E">
              <w:t xml:space="preserve"> verbindlich festgeschrieben werden. Es wird vorgeschlagen für FG den Zielwert für Stadtparks zu übernehmen, für FGB und FU den Zielwert für Schulanlagen oder Familiengärten und für FS den Zielwert für Sportanlagen.</w:t>
            </w:r>
          </w:p>
        </w:tc>
      </w:tr>
      <w:tr w:rsidR="003F73E7" w14:paraId="022B7F6C" w14:textId="77777777" w:rsidTr="003F73E7">
        <w:tc>
          <w:tcPr>
            <w:tcW w:w="250" w:type="pct"/>
          </w:tcPr>
          <w:p w14:paraId="56BEBE38" w14:textId="77777777" w:rsidR="003F73E7" w:rsidRDefault="003F73E7" w:rsidP="003F73E7">
            <w:pPr>
              <w:pStyle w:val="Listenabsatz"/>
              <w:numPr>
                <w:ilvl w:val="0"/>
                <w:numId w:val="19"/>
              </w:numPr>
            </w:pPr>
          </w:p>
        </w:tc>
        <w:tc>
          <w:tcPr>
            <w:tcW w:w="836" w:type="pct"/>
          </w:tcPr>
          <w:p w14:paraId="6E945304" w14:textId="77777777" w:rsidR="003F73E7" w:rsidRDefault="003F73E7" w:rsidP="00FF60D6">
            <w:r>
              <w:t>PVS</w:t>
            </w:r>
          </w:p>
        </w:tc>
        <w:tc>
          <w:tcPr>
            <w:tcW w:w="1941" w:type="pct"/>
          </w:tcPr>
          <w:p w14:paraId="4B41B724" w14:textId="77777777" w:rsidR="003F73E7" w:rsidRDefault="003F73E7" w:rsidP="00FF60D6">
            <w:r>
              <w:t>Areal 16 Neufeld: Sportanlagen</w:t>
            </w:r>
          </w:p>
          <w:p w14:paraId="331BAF21" w14:textId="77777777" w:rsidR="003F73E7" w:rsidRDefault="003F73E7" w:rsidP="00FF60D6"/>
          <w:p w14:paraId="481A50AA" w14:textId="77777777" w:rsidR="003F73E7" w:rsidRDefault="003F73E7" w:rsidP="00FF60D6">
            <w:r>
              <w:t>Neue Option herstellen: Die Kunstrasenflächen können prinzipiell auch auf dem Dach einer Sporthalle, eines Busdepots oder eines Werkhofes erstellt werden.</w:t>
            </w:r>
          </w:p>
          <w:p w14:paraId="34957522" w14:textId="77777777" w:rsidR="003F73E7" w:rsidRPr="009E62B5" w:rsidRDefault="003F73E7" w:rsidP="00FF60D6">
            <w:r>
              <w:t>Dafür sind die Zweckbestimmungen B, S und I dazuzufügen und die maximale Fassadenhöhe sowie Grünziffer sinnvoll anzupassen.</w:t>
            </w:r>
          </w:p>
        </w:tc>
        <w:tc>
          <w:tcPr>
            <w:tcW w:w="1973" w:type="pct"/>
          </w:tcPr>
          <w:p w14:paraId="64BB57FD" w14:textId="77777777" w:rsidR="003F73E7" w:rsidRDefault="003F73E7" w:rsidP="00FF60D6">
            <w:r>
              <w:t>Sportvereine stehen immer wieder vor dem Problem knapper räumlicher Verhältnisse auf städtischem Boden. Im Neufeld wäre eine gestapelte Nutzung denkbar. In dieser Revision können die Rahmenbedingungen geschaffen werden, um eine gestapelte Nutzung zukünftig zu ermöglichen.</w:t>
            </w:r>
          </w:p>
        </w:tc>
      </w:tr>
      <w:tr w:rsidR="003F73E7" w14:paraId="2FDDCFD8" w14:textId="77777777" w:rsidTr="003F73E7">
        <w:tc>
          <w:tcPr>
            <w:tcW w:w="250" w:type="pct"/>
          </w:tcPr>
          <w:p w14:paraId="59C40509" w14:textId="77777777" w:rsidR="003F73E7" w:rsidRDefault="003F73E7" w:rsidP="003F73E7">
            <w:pPr>
              <w:pStyle w:val="Listenabsatz"/>
              <w:numPr>
                <w:ilvl w:val="0"/>
                <w:numId w:val="19"/>
              </w:numPr>
            </w:pPr>
          </w:p>
        </w:tc>
        <w:tc>
          <w:tcPr>
            <w:tcW w:w="836" w:type="pct"/>
          </w:tcPr>
          <w:p w14:paraId="500209F4" w14:textId="77777777" w:rsidR="003F73E7" w:rsidRDefault="003F73E7" w:rsidP="00FF60D6">
            <w:r>
              <w:t>PVS-Minderheit</w:t>
            </w:r>
          </w:p>
        </w:tc>
        <w:tc>
          <w:tcPr>
            <w:tcW w:w="1941" w:type="pct"/>
          </w:tcPr>
          <w:p w14:paraId="7944C4C2" w14:textId="77777777" w:rsidR="003F73E7" w:rsidRDefault="003F73E7" w:rsidP="00FF60D6">
            <w:r>
              <w:t xml:space="preserve">Areal 121: </w:t>
            </w:r>
            <w:proofErr w:type="spellStart"/>
            <w:r>
              <w:t>Klösterlistutz</w:t>
            </w:r>
            <w:proofErr w:type="spellEnd"/>
          </w:p>
          <w:p w14:paraId="5E3D2EA0" w14:textId="77777777" w:rsidR="003F73E7" w:rsidRDefault="003F73E7" w:rsidP="00FF60D6"/>
          <w:p w14:paraId="6C329C8B" w14:textId="77777777" w:rsidR="003F73E7" w:rsidRDefault="003F73E7" w:rsidP="00FF60D6">
            <w:r>
              <w:t>Im weiteren Planungsverfahren sollen die Vorschriften so angepasst werden, dass die Parkplätze zukünftig nicht erhalten werden müssen.</w:t>
            </w:r>
          </w:p>
        </w:tc>
        <w:tc>
          <w:tcPr>
            <w:tcW w:w="1973" w:type="pct"/>
          </w:tcPr>
          <w:p w14:paraId="6CAC7A54" w14:textId="77777777" w:rsidR="003F73E7" w:rsidRDefault="003F73E7" w:rsidP="00FF60D6">
            <w:r>
              <w:t>Die heutige Formulierung erweckt den Eindruck, dass die Parkplatznutzung für die kommenden Jahrzehnte festgeschrieben wird. Eine künftige Auflösung der Parkplätze muss möglich sein.</w:t>
            </w:r>
          </w:p>
        </w:tc>
      </w:tr>
    </w:tbl>
    <w:p w14:paraId="4F72F31A" w14:textId="45D08B44" w:rsidR="00966C21" w:rsidRDefault="00966C21" w:rsidP="00966C21">
      <w:pPr>
        <w:pStyle w:val="berschrift3"/>
      </w:pPr>
      <w:r>
        <w:lastRenderedPageBreak/>
        <w:t xml:space="preserve">Traktandum </w:t>
      </w:r>
      <w:r w:rsidR="00CB7B3E">
        <w:t>4</w:t>
      </w:r>
      <w:r>
        <w:t xml:space="preserve">: </w:t>
      </w:r>
      <w:proofErr w:type="spellStart"/>
      <w:r w:rsidR="00CB7B3E">
        <w:t>Thunstrasse</w:t>
      </w:r>
      <w:proofErr w:type="spellEnd"/>
      <w:r w:rsidR="00CB7B3E">
        <w:t xml:space="preserve"> West und Ost: Kurz- und Mittelfristmassnahmen, weiteres Vorgehen; Projektierungs- und Ausführungskredite (2014.TVS.000231)</w:t>
      </w:r>
    </w:p>
    <w:tbl>
      <w:tblPr>
        <w:tblStyle w:val="Tabellenraster"/>
        <w:tblW w:w="5000" w:type="pct"/>
        <w:tblLook w:val="04A0" w:firstRow="1" w:lastRow="0" w:firstColumn="1" w:lastColumn="0" w:noHBand="0" w:noVBand="1"/>
      </w:tblPr>
      <w:tblGrid>
        <w:gridCol w:w="676"/>
        <w:gridCol w:w="2259"/>
        <w:gridCol w:w="5245"/>
        <w:gridCol w:w="5331"/>
      </w:tblGrid>
      <w:tr w:rsidR="00966C21" w14:paraId="72BAAFB0" w14:textId="77777777" w:rsidTr="00CB7B3E">
        <w:trPr>
          <w:tblHeader/>
        </w:trPr>
        <w:tc>
          <w:tcPr>
            <w:tcW w:w="250" w:type="pct"/>
            <w:tcBorders>
              <w:top w:val="single" w:sz="4" w:space="0" w:color="auto"/>
              <w:left w:val="single" w:sz="4" w:space="0" w:color="auto"/>
              <w:bottom w:val="single" w:sz="4" w:space="0" w:color="auto"/>
              <w:right w:val="single" w:sz="4" w:space="0" w:color="auto"/>
            </w:tcBorders>
            <w:hideMark/>
          </w:tcPr>
          <w:p w14:paraId="07E5090F" w14:textId="77777777" w:rsidR="00966C21" w:rsidRPr="00966C21" w:rsidRDefault="00966C21" w:rsidP="00E374C2">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78994B67" w14:textId="77777777" w:rsidR="00966C21" w:rsidRPr="00966C21" w:rsidRDefault="00966C21" w:rsidP="00E374C2">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2BEEAF25" w14:textId="77777777" w:rsidR="00966C21" w:rsidRPr="00966C21" w:rsidRDefault="00966C21" w:rsidP="00E374C2">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7EC1FAAD" w14:textId="77777777" w:rsidR="00966C21" w:rsidRPr="00966C21" w:rsidRDefault="00966C21" w:rsidP="00E374C2">
            <w:pPr>
              <w:spacing w:before="120" w:after="120"/>
              <w:rPr>
                <w:rStyle w:val="Fett"/>
              </w:rPr>
            </w:pPr>
            <w:r w:rsidRPr="00966C21">
              <w:rPr>
                <w:rStyle w:val="Fett"/>
              </w:rPr>
              <w:t>Begründung</w:t>
            </w:r>
          </w:p>
        </w:tc>
      </w:tr>
      <w:tr w:rsidR="00CB7B3E" w14:paraId="6553350D" w14:textId="77777777" w:rsidTr="00CB7B3E">
        <w:tc>
          <w:tcPr>
            <w:tcW w:w="250" w:type="pct"/>
            <w:tcBorders>
              <w:top w:val="single" w:sz="4" w:space="0" w:color="auto"/>
              <w:left w:val="single" w:sz="4" w:space="0" w:color="auto"/>
              <w:bottom w:val="single" w:sz="4" w:space="0" w:color="auto"/>
              <w:right w:val="single" w:sz="4" w:space="0" w:color="auto"/>
            </w:tcBorders>
          </w:tcPr>
          <w:p w14:paraId="7EF2E20D" w14:textId="77777777" w:rsidR="00CB7B3E" w:rsidRDefault="00CB7B3E" w:rsidP="00CB7B3E">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46D71B50" w14:textId="3150EEDD" w:rsidR="00CB7B3E" w:rsidRDefault="00CB7B3E" w:rsidP="00CB7B3E">
            <w:r>
              <w:t>PVS</w:t>
            </w:r>
          </w:p>
        </w:tc>
        <w:tc>
          <w:tcPr>
            <w:tcW w:w="1941" w:type="pct"/>
            <w:tcBorders>
              <w:top w:val="single" w:sz="4" w:space="0" w:color="auto"/>
              <w:left w:val="single" w:sz="4" w:space="0" w:color="auto"/>
              <w:bottom w:val="single" w:sz="4" w:space="0" w:color="auto"/>
              <w:right w:val="single" w:sz="4" w:space="0" w:color="auto"/>
            </w:tcBorders>
          </w:tcPr>
          <w:p w14:paraId="453F9904" w14:textId="01180DD5" w:rsidR="00CB7B3E" w:rsidRDefault="00CB7B3E" w:rsidP="00CB7B3E">
            <w:r w:rsidRPr="00E3049F">
              <w:t>Die bereits umgesetzten Sofortmassnahmen werden über den vorliegenden Kredit abgerechnet. Der Ausführungskredit wird um 170 000 Fr. auf 5’627'000 Fr. erhöht.</w:t>
            </w:r>
          </w:p>
        </w:tc>
        <w:tc>
          <w:tcPr>
            <w:tcW w:w="1973" w:type="pct"/>
            <w:tcBorders>
              <w:top w:val="single" w:sz="4" w:space="0" w:color="auto"/>
              <w:left w:val="single" w:sz="4" w:space="0" w:color="auto"/>
              <w:bottom w:val="single" w:sz="4" w:space="0" w:color="auto"/>
              <w:right w:val="single" w:sz="4" w:space="0" w:color="auto"/>
            </w:tcBorders>
          </w:tcPr>
          <w:p w14:paraId="540FBEC0" w14:textId="77777777" w:rsidR="00CB7B3E" w:rsidRDefault="00CB7B3E" w:rsidP="00CB7B3E">
            <w:r w:rsidRPr="00E3049F">
              <w:t xml:space="preserve">Bereits in Umsetzung befinden sich an verschiedenen Orten Sofortmassnahmen (Markierungen), die im betroffenen Perimeter eine klarere Trennung zwischen dem Fuss- und dem Veloverkehr ermöglichen. Die Sofortmassnahmen sind aufwärtskompatibel mit den geplanten Kurz- und Mittelfristmassnahmen und sind separat finanziert; sie sind bis jetzt nicht Teil des vorliegenden Kreditantrags, sondern werden über den RFFV abgerechnet. </w:t>
            </w:r>
          </w:p>
          <w:p w14:paraId="33DDF6D6" w14:textId="12D750D1" w:rsidR="00CB7B3E" w:rsidRDefault="00CB7B3E" w:rsidP="00CB7B3E">
            <w:r w:rsidRPr="00E3049F">
              <w:t xml:space="preserve">Die Sofortmassnahmen sind jedoch im gleichen Perimeter und gehören somit zum ehemaligen Gesamtprojekt </w:t>
            </w:r>
            <w:proofErr w:type="spellStart"/>
            <w:r w:rsidRPr="00E3049F">
              <w:t>Thunstrasse</w:t>
            </w:r>
            <w:proofErr w:type="spellEnd"/>
            <w:r>
              <w:t>-</w:t>
            </w:r>
            <w:r w:rsidRPr="00E3049F">
              <w:t>Ostring (GTO-Projekt). Sie sind über den hiervorliegenden Investitionskredit abzurechnen und nicht über den RFFV.</w:t>
            </w:r>
          </w:p>
        </w:tc>
      </w:tr>
      <w:tr w:rsidR="00CB7B3E" w14:paraId="6014CD6A" w14:textId="77777777" w:rsidTr="00CB7B3E">
        <w:tc>
          <w:tcPr>
            <w:tcW w:w="250" w:type="pct"/>
            <w:tcBorders>
              <w:top w:val="single" w:sz="4" w:space="0" w:color="auto"/>
              <w:left w:val="single" w:sz="4" w:space="0" w:color="auto"/>
              <w:bottom w:val="single" w:sz="4" w:space="0" w:color="auto"/>
              <w:right w:val="single" w:sz="4" w:space="0" w:color="auto"/>
            </w:tcBorders>
          </w:tcPr>
          <w:p w14:paraId="7A6A1FDD" w14:textId="77777777" w:rsidR="00CB7B3E" w:rsidRDefault="00CB7B3E" w:rsidP="00CB7B3E">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54556A7A" w14:textId="1919350D" w:rsidR="00CB7B3E" w:rsidRDefault="00CB7B3E" w:rsidP="00CB7B3E">
            <w:r>
              <w:t>PVS</w:t>
            </w:r>
          </w:p>
        </w:tc>
        <w:tc>
          <w:tcPr>
            <w:tcW w:w="1941" w:type="pct"/>
            <w:tcBorders>
              <w:top w:val="single" w:sz="4" w:space="0" w:color="auto"/>
              <w:left w:val="single" w:sz="4" w:space="0" w:color="auto"/>
              <w:bottom w:val="single" w:sz="4" w:space="0" w:color="auto"/>
              <w:right w:val="single" w:sz="4" w:space="0" w:color="auto"/>
            </w:tcBorders>
          </w:tcPr>
          <w:p w14:paraId="6BE2BAA3" w14:textId="7714E985" w:rsidR="00CB7B3E" w:rsidRPr="00E3049F" w:rsidRDefault="00CB7B3E" w:rsidP="00CB7B3E">
            <w:r w:rsidRPr="00371D12">
              <w:t>Überall dort, wo Parkplätze angepasst werden, sollen Entsiegelungsmassnahmen geprüft werden.</w:t>
            </w:r>
          </w:p>
        </w:tc>
        <w:tc>
          <w:tcPr>
            <w:tcW w:w="1973" w:type="pct"/>
            <w:tcBorders>
              <w:top w:val="single" w:sz="4" w:space="0" w:color="auto"/>
              <w:left w:val="single" w:sz="4" w:space="0" w:color="auto"/>
              <w:bottom w:val="single" w:sz="4" w:space="0" w:color="auto"/>
              <w:right w:val="single" w:sz="4" w:space="0" w:color="auto"/>
            </w:tcBorders>
          </w:tcPr>
          <w:p w14:paraId="741EE3C4" w14:textId="784F7D30" w:rsidR="00CB7B3E" w:rsidRPr="00E3049F" w:rsidRDefault="00CB7B3E" w:rsidP="00CB7B3E">
            <w:r w:rsidRPr="00371D12">
              <w:t>Die Stadt Bern hat mit dem Klimaanpassung</w:t>
            </w:r>
            <w:r>
              <w:t>s</w:t>
            </w:r>
            <w:r w:rsidRPr="00371D12">
              <w:t>reglement (KAR) verbindliche Ziele zur Reduktion versiegelter Flächen festgelegt. Wo Parkplätze angepasst oder aufgehoben werden, sollen Entsiegelungsmassnahmen geprüft werden, um die Umsetzung des Klimaanpassungsreglements konsequent voranzutreiben.</w:t>
            </w:r>
          </w:p>
        </w:tc>
      </w:tr>
      <w:tr w:rsidR="00CB7B3E" w14:paraId="57DE4B8E" w14:textId="77777777" w:rsidTr="00CB7B3E">
        <w:tc>
          <w:tcPr>
            <w:tcW w:w="250" w:type="pct"/>
            <w:tcBorders>
              <w:top w:val="single" w:sz="4" w:space="0" w:color="auto"/>
              <w:left w:val="single" w:sz="4" w:space="0" w:color="auto"/>
              <w:bottom w:val="single" w:sz="4" w:space="0" w:color="auto"/>
              <w:right w:val="single" w:sz="4" w:space="0" w:color="auto"/>
            </w:tcBorders>
          </w:tcPr>
          <w:p w14:paraId="7BA67895" w14:textId="77777777" w:rsidR="00CB7B3E" w:rsidRDefault="00CB7B3E" w:rsidP="00CB7B3E">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3C6CEC7B" w14:textId="06057209" w:rsidR="00CB7B3E" w:rsidRDefault="00CB7B3E" w:rsidP="00CB7B3E">
            <w:r>
              <w:t>PVS</w:t>
            </w:r>
          </w:p>
        </w:tc>
        <w:tc>
          <w:tcPr>
            <w:tcW w:w="1941" w:type="pct"/>
            <w:tcBorders>
              <w:top w:val="single" w:sz="4" w:space="0" w:color="auto"/>
              <w:left w:val="single" w:sz="4" w:space="0" w:color="auto"/>
              <w:bottom w:val="single" w:sz="4" w:space="0" w:color="auto"/>
              <w:right w:val="single" w:sz="4" w:space="0" w:color="auto"/>
            </w:tcBorders>
          </w:tcPr>
          <w:p w14:paraId="39B90A5E" w14:textId="69440A63" w:rsidR="00CB7B3E" w:rsidRPr="00371D12" w:rsidRDefault="00CB7B3E" w:rsidP="00744507">
            <w:r>
              <w:t xml:space="preserve">Es ist zu prüfen, ob die </w:t>
            </w:r>
            <w:proofErr w:type="spellStart"/>
            <w:r>
              <w:t>Velospur</w:t>
            </w:r>
            <w:proofErr w:type="spellEnd"/>
            <w:r>
              <w:t xml:space="preserve"> ab </w:t>
            </w:r>
            <w:proofErr w:type="spellStart"/>
            <w:r>
              <w:t>Thunstrasse</w:t>
            </w:r>
            <w:proofErr w:type="spellEnd"/>
            <w:r>
              <w:t xml:space="preserve"> 12 (rechte Seite) bis zur Migros für die normalen Velos auf das Trottoir verlegt werden kann und die 45 km/h Velos auf der Strasse verleiben können.</w:t>
            </w:r>
          </w:p>
        </w:tc>
        <w:tc>
          <w:tcPr>
            <w:tcW w:w="1973" w:type="pct"/>
            <w:tcBorders>
              <w:top w:val="single" w:sz="4" w:space="0" w:color="auto"/>
              <w:left w:val="single" w:sz="4" w:space="0" w:color="auto"/>
              <w:bottom w:val="single" w:sz="4" w:space="0" w:color="auto"/>
              <w:right w:val="single" w:sz="4" w:space="0" w:color="auto"/>
            </w:tcBorders>
          </w:tcPr>
          <w:p w14:paraId="0ACF9045" w14:textId="5533EFC3" w:rsidR="00CB7B3E" w:rsidRPr="00371D12" w:rsidRDefault="00CB7B3E" w:rsidP="00CB7B3E">
            <w:r w:rsidRPr="00817E9A">
              <w:t xml:space="preserve">Ab der Migros im Kirchenfeld muss der langsame Veloverkehr wegen der Tramhaltestelle sowieso aufs Trottoir. Somit kann man diesen schon ab </w:t>
            </w:r>
            <w:proofErr w:type="spellStart"/>
            <w:r w:rsidRPr="00817E9A">
              <w:t>Thunstrasse</w:t>
            </w:r>
            <w:proofErr w:type="spellEnd"/>
            <w:r w:rsidRPr="00817E9A">
              <w:t xml:space="preserve"> 12 so fahren lassen. Das neue Modell mit den gelben Streifen funktioniert weiter</w:t>
            </w:r>
            <w:r>
              <w:t xml:space="preserve"> </w:t>
            </w:r>
            <w:r w:rsidRPr="00817E9A">
              <w:t xml:space="preserve">oben sehr gut. Es ist sicherer, da so die Velos nicht direkt vor der Migros einbiegen müssen. Somit können die </w:t>
            </w:r>
            <w:r>
              <w:t>Gewerbeparkplätze</w:t>
            </w:r>
            <w:r w:rsidRPr="00817E9A">
              <w:t xml:space="preserve"> und der Ausladeplatz erhalten bleiben. Diese sind wichtig für das </w:t>
            </w:r>
            <w:r>
              <w:t xml:space="preserve">dort ansässige </w:t>
            </w:r>
            <w:r w:rsidRPr="00817E9A">
              <w:t>Gewerbe</w:t>
            </w:r>
            <w:r>
              <w:t xml:space="preserve"> und das umso mehr, weil</w:t>
            </w:r>
            <w:r w:rsidRPr="00817E9A">
              <w:t xml:space="preserve"> es dort 2 Möbelgeschäfte hat, in denen die Leute Möbel mit dem Auto abholen. Des</w:t>
            </w:r>
            <w:r>
              <w:t xml:space="preserve"> </w:t>
            </w:r>
            <w:r w:rsidRPr="00817E9A">
              <w:t>Weiter</w:t>
            </w:r>
            <w:r>
              <w:t>e</w:t>
            </w:r>
            <w:r w:rsidRPr="00817E9A">
              <w:t>n m</w:t>
            </w:r>
            <w:r>
              <w:t>u</w:t>
            </w:r>
            <w:r w:rsidRPr="00817E9A">
              <w:t xml:space="preserve">sste für den Ausladeplatz der Veloparkplatz </w:t>
            </w:r>
            <w:proofErr w:type="spellStart"/>
            <w:r w:rsidRPr="00817E9A">
              <w:t>vis</w:t>
            </w:r>
            <w:proofErr w:type="spellEnd"/>
            <w:r w:rsidRPr="00817E9A">
              <w:t xml:space="preserve"> à </w:t>
            </w:r>
            <w:proofErr w:type="spellStart"/>
            <w:r w:rsidRPr="00817E9A">
              <w:t>vis</w:t>
            </w:r>
            <w:proofErr w:type="spellEnd"/>
            <w:r w:rsidRPr="00817E9A">
              <w:t xml:space="preserve"> der Migros weichen, somit verlieren mit der angedachten Variante alle. Fazit</w:t>
            </w:r>
            <w:r>
              <w:t>: M</w:t>
            </w:r>
            <w:r w:rsidRPr="00817E9A">
              <w:t xml:space="preserve">it dieser Variante fahren die langsamen Velos </w:t>
            </w:r>
            <w:r w:rsidRPr="00817E9A">
              <w:lastRenderedPageBreak/>
              <w:t>100 Meter mehr auf dem Trottoir, was sie weiter</w:t>
            </w:r>
            <w:r>
              <w:t xml:space="preserve"> </w:t>
            </w:r>
            <w:r w:rsidRPr="00817E9A">
              <w:t>oben sowieso machen.</w:t>
            </w:r>
          </w:p>
        </w:tc>
      </w:tr>
      <w:tr w:rsidR="00CB7B3E" w14:paraId="27916FAA" w14:textId="77777777" w:rsidTr="00CB7B3E">
        <w:tc>
          <w:tcPr>
            <w:tcW w:w="250" w:type="pct"/>
            <w:tcBorders>
              <w:top w:val="single" w:sz="4" w:space="0" w:color="auto"/>
              <w:left w:val="single" w:sz="4" w:space="0" w:color="auto"/>
              <w:bottom w:val="single" w:sz="4" w:space="0" w:color="auto"/>
              <w:right w:val="single" w:sz="4" w:space="0" w:color="auto"/>
            </w:tcBorders>
          </w:tcPr>
          <w:p w14:paraId="14067648" w14:textId="77777777" w:rsidR="00CB7B3E" w:rsidRDefault="00CB7B3E" w:rsidP="00CB7B3E">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56F45377" w14:textId="117598BD" w:rsidR="00CB7B3E" w:rsidRDefault="00CB7B3E" w:rsidP="00CB7B3E">
            <w:r>
              <w:t>PVS</w:t>
            </w:r>
          </w:p>
        </w:tc>
        <w:tc>
          <w:tcPr>
            <w:tcW w:w="1941" w:type="pct"/>
            <w:tcBorders>
              <w:top w:val="single" w:sz="4" w:space="0" w:color="auto"/>
              <w:left w:val="single" w:sz="4" w:space="0" w:color="auto"/>
              <w:bottom w:val="single" w:sz="4" w:space="0" w:color="auto"/>
              <w:right w:val="single" w:sz="4" w:space="0" w:color="auto"/>
            </w:tcBorders>
          </w:tcPr>
          <w:p w14:paraId="6771452D" w14:textId="77777777" w:rsidR="00CB7B3E" w:rsidRDefault="00CB7B3E" w:rsidP="00CB7B3E">
            <w:r w:rsidRPr="009464AB">
              <w:t xml:space="preserve">Modul 1c: </w:t>
            </w:r>
            <w:proofErr w:type="spellStart"/>
            <w:r w:rsidRPr="009464AB">
              <w:t>Thunstrasse</w:t>
            </w:r>
            <w:proofErr w:type="spellEnd"/>
            <w:r w:rsidRPr="009464AB">
              <w:t xml:space="preserve">, Abschnitt </w:t>
            </w:r>
            <w:proofErr w:type="spellStart"/>
            <w:r w:rsidRPr="009464AB">
              <w:t>Mottastrasse</w:t>
            </w:r>
            <w:proofErr w:type="spellEnd"/>
            <w:r w:rsidRPr="009464AB">
              <w:t xml:space="preserve"> – Luisenstrasse (stadtauswärts), kurzfristige Massnahme</w:t>
            </w:r>
            <w:r>
              <w:t>:</w:t>
            </w:r>
          </w:p>
          <w:p w14:paraId="7632D59E" w14:textId="6A39D400" w:rsidR="00CB7B3E" w:rsidRDefault="00CB7B3E" w:rsidP="00CB7B3E">
            <w:r>
              <w:t>Es ist zu prüfen, ob a</w:t>
            </w:r>
            <w:r w:rsidRPr="009464AB">
              <w:t xml:space="preserve">uf die Teilkompensation des gebührenpflichtigen Parkfeldes vor der </w:t>
            </w:r>
            <w:proofErr w:type="spellStart"/>
            <w:r w:rsidRPr="009464AB">
              <w:t>Kichenfel</w:t>
            </w:r>
            <w:r w:rsidR="00744507">
              <w:t>d</w:t>
            </w:r>
            <w:r w:rsidRPr="009464AB">
              <w:t>apotheke</w:t>
            </w:r>
            <w:proofErr w:type="spellEnd"/>
            <w:r w:rsidRPr="009464AB">
              <w:t xml:space="preserve"> </w:t>
            </w:r>
            <w:r>
              <w:t>verzichtet werden kann.</w:t>
            </w:r>
          </w:p>
        </w:tc>
        <w:tc>
          <w:tcPr>
            <w:tcW w:w="1973" w:type="pct"/>
            <w:tcBorders>
              <w:top w:val="single" w:sz="4" w:space="0" w:color="auto"/>
              <w:left w:val="single" w:sz="4" w:space="0" w:color="auto"/>
              <w:bottom w:val="single" w:sz="4" w:space="0" w:color="auto"/>
              <w:right w:val="single" w:sz="4" w:space="0" w:color="auto"/>
            </w:tcBorders>
          </w:tcPr>
          <w:p w14:paraId="173A02FD" w14:textId="31960F14" w:rsidR="00CB7B3E" w:rsidRPr="00817E9A" w:rsidRDefault="00CB7B3E" w:rsidP="00CB7B3E">
            <w:r w:rsidRPr="009464AB">
              <w:t>In der Energie- und Klimastrategie der Stadt Bern (Massnahmenblatt MG-2) ist festgehalten, dass die Anzahl der Parkplätze im öffentlichen und privaten Raum reduziert werden. Auf die Kompensation des gebührenpflichtigen Parkfeldes soll daher verzichtet werden.</w:t>
            </w:r>
          </w:p>
        </w:tc>
      </w:tr>
      <w:tr w:rsidR="00CB7B3E" w14:paraId="1EA17908" w14:textId="77777777" w:rsidTr="00CB7B3E">
        <w:tc>
          <w:tcPr>
            <w:tcW w:w="250" w:type="pct"/>
            <w:tcBorders>
              <w:top w:val="single" w:sz="4" w:space="0" w:color="auto"/>
              <w:left w:val="single" w:sz="4" w:space="0" w:color="auto"/>
              <w:bottom w:val="single" w:sz="4" w:space="0" w:color="auto"/>
              <w:right w:val="single" w:sz="4" w:space="0" w:color="auto"/>
            </w:tcBorders>
          </w:tcPr>
          <w:p w14:paraId="0B49696C" w14:textId="77777777" w:rsidR="00CB7B3E" w:rsidRDefault="00CB7B3E" w:rsidP="00CB7B3E">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1A5E0457" w14:textId="33ACF8AE" w:rsidR="00CB7B3E" w:rsidRDefault="00CB7B3E" w:rsidP="00CB7B3E">
            <w:r>
              <w:t>PVS</w:t>
            </w:r>
          </w:p>
        </w:tc>
        <w:tc>
          <w:tcPr>
            <w:tcW w:w="1941" w:type="pct"/>
            <w:tcBorders>
              <w:top w:val="single" w:sz="4" w:space="0" w:color="auto"/>
              <w:left w:val="single" w:sz="4" w:space="0" w:color="auto"/>
              <w:bottom w:val="single" w:sz="4" w:space="0" w:color="auto"/>
              <w:right w:val="single" w:sz="4" w:space="0" w:color="auto"/>
            </w:tcBorders>
          </w:tcPr>
          <w:p w14:paraId="23D9489C" w14:textId="0DCCFDB6" w:rsidR="00CB7B3E" w:rsidRPr="009464AB" w:rsidRDefault="00CB7B3E" w:rsidP="00CB7B3E">
            <w:r>
              <w:t xml:space="preserve">Von den zahlreichen durch den Velostreifen in der </w:t>
            </w:r>
            <w:proofErr w:type="spellStart"/>
            <w:r>
              <w:t>Jungfraustrasse</w:t>
            </w:r>
            <w:proofErr w:type="spellEnd"/>
            <w:r>
              <w:t xml:space="preserve"> und der Marienstrasse wegfallenden blauen Parkplätzen sind so viele wie möglich auf die obere </w:t>
            </w:r>
            <w:proofErr w:type="spellStart"/>
            <w:r>
              <w:t>Thunstrasse</w:t>
            </w:r>
            <w:proofErr w:type="spellEnd"/>
            <w:r>
              <w:t xml:space="preserve"> links zu verlegen. </w:t>
            </w:r>
          </w:p>
        </w:tc>
        <w:tc>
          <w:tcPr>
            <w:tcW w:w="1973" w:type="pct"/>
            <w:tcBorders>
              <w:top w:val="single" w:sz="4" w:space="0" w:color="auto"/>
              <w:left w:val="single" w:sz="4" w:space="0" w:color="auto"/>
              <w:bottom w:val="single" w:sz="4" w:space="0" w:color="auto"/>
              <w:right w:val="single" w:sz="4" w:space="0" w:color="auto"/>
            </w:tcBorders>
          </w:tcPr>
          <w:p w14:paraId="61C35BB1" w14:textId="0C2DE212" w:rsidR="00CB7B3E" w:rsidRPr="009464AB" w:rsidRDefault="00CB7B3E" w:rsidP="00CB7B3E">
            <w:r>
              <w:t xml:space="preserve">Für den neuen Velostreifen werden sehr viele blaue Parkplätze aufhoben - v.a. in der </w:t>
            </w:r>
            <w:proofErr w:type="spellStart"/>
            <w:r>
              <w:t>Jungfraustrasse</w:t>
            </w:r>
            <w:proofErr w:type="spellEnd"/>
            <w:r>
              <w:t xml:space="preserve">. Da die weissen Parkfelder in der oberen </w:t>
            </w:r>
            <w:proofErr w:type="spellStart"/>
            <w:r>
              <w:t>Thunstrasse</w:t>
            </w:r>
            <w:proofErr w:type="spellEnd"/>
            <w:r>
              <w:t xml:space="preserve"> kaum genutzt werden, sind so viele wegfallende blaue Parkplätze wie möglich dorthin zu verlegen. </w:t>
            </w:r>
          </w:p>
        </w:tc>
      </w:tr>
    </w:tbl>
    <w:p w14:paraId="7ED951AB" w14:textId="77777777" w:rsidR="00795CAB" w:rsidRDefault="00795CAB" w:rsidP="000048B8"/>
    <w:sectPr w:rsidR="00795CAB" w:rsidSect="009017A7">
      <w:headerReference w:type="default" r:id="rId8"/>
      <w:footerReference w:type="default" r:id="rId9"/>
      <w:headerReference w:type="first" r:id="rId10"/>
      <w:footerReference w:type="first" r:id="rId11"/>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4B2" w14:textId="77777777" w:rsidR="00CF7F58" w:rsidRDefault="00CF7F58" w:rsidP="00BA7686">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 w15:restartNumberingAfterBreak="0">
    <w:nsid w:val="2287431C"/>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9FF52AD"/>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A6F610C"/>
    <w:multiLevelType w:val="multilevel"/>
    <w:tmpl w:val="3E92B728"/>
    <w:numStyleLink w:val="AUFZGRAU"/>
  </w:abstractNum>
  <w:abstractNum w:abstractNumId="7"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3CF5530A"/>
    <w:multiLevelType w:val="multilevel"/>
    <w:tmpl w:val="65A25B06"/>
    <w:lvl w:ilvl="0">
      <w:start w:val="1"/>
      <w:numFmt w:val="lowerLetter"/>
      <w:lvlText w:val="%1)"/>
      <w:lvlJc w:val="left"/>
      <w:pPr>
        <w:ind w:left="360" w:hanging="360"/>
      </w:pPr>
      <w:rPr>
        <w:strike w:val="0"/>
        <w:dstrike w:val="0"/>
        <w:u w:val="none"/>
        <w:effect w:val="none"/>
      </w:rPr>
    </w:lvl>
    <w:lvl w:ilvl="1">
      <w:start w:val="1"/>
      <w:numFmt w:val="lowerRoman"/>
      <w:lvlText w:val="%2)"/>
      <w:lvlJc w:val="right"/>
      <w:pPr>
        <w:ind w:left="1080" w:hanging="360"/>
      </w:pPr>
      <w:rPr>
        <w:strike w:val="0"/>
        <w:dstrike w:val="0"/>
        <w:u w:val="none"/>
        <w:effect w:val="none"/>
      </w:rPr>
    </w:lvl>
    <w:lvl w:ilvl="2">
      <w:start w:val="1"/>
      <w:numFmt w:val="decimal"/>
      <w:lvlText w:val="%3)"/>
      <w:lvlJc w:val="left"/>
      <w:pPr>
        <w:ind w:left="1800" w:hanging="360"/>
      </w:pPr>
      <w:rPr>
        <w:strike w:val="0"/>
        <w:dstrike w:val="0"/>
        <w:u w:val="none"/>
        <w:effect w:val="none"/>
      </w:rPr>
    </w:lvl>
    <w:lvl w:ilvl="3">
      <w:start w:val="1"/>
      <w:numFmt w:val="lowerLetter"/>
      <w:lvlText w:val="(%4)"/>
      <w:lvlJc w:val="left"/>
      <w:pPr>
        <w:ind w:left="2520" w:hanging="360"/>
      </w:pPr>
      <w:rPr>
        <w:strike w:val="0"/>
        <w:dstrike w:val="0"/>
        <w:u w:val="none"/>
        <w:effect w:val="none"/>
      </w:rPr>
    </w:lvl>
    <w:lvl w:ilvl="4">
      <w:start w:val="1"/>
      <w:numFmt w:val="lowerRoman"/>
      <w:lvlText w:val="(%5)"/>
      <w:lvlJc w:val="right"/>
      <w:pPr>
        <w:ind w:left="3240" w:hanging="360"/>
      </w:pPr>
      <w:rPr>
        <w:strike w:val="0"/>
        <w:dstrike w:val="0"/>
        <w:u w:val="none"/>
        <w:effect w:val="none"/>
      </w:rPr>
    </w:lvl>
    <w:lvl w:ilvl="5">
      <w:start w:val="1"/>
      <w:numFmt w:val="decimal"/>
      <w:lvlText w:val="(%6)"/>
      <w:lvlJc w:val="left"/>
      <w:pPr>
        <w:ind w:left="3960" w:hanging="360"/>
      </w:pPr>
      <w:rPr>
        <w:strike w:val="0"/>
        <w:dstrike w:val="0"/>
        <w:u w:val="none"/>
        <w:effect w:val="none"/>
      </w:rPr>
    </w:lvl>
    <w:lvl w:ilvl="6">
      <w:start w:val="1"/>
      <w:numFmt w:val="lowerLetter"/>
      <w:lvlText w:val="%7."/>
      <w:lvlJc w:val="left"/>
      <w:pPr>
        <w:ind w:left="4680" w:hanging="360"/>
      </w:pPr>
      <w:rPr>
        <w:strike w:val="0"/>
        <w:dstrike w:val="0"/>
        <w:u w:val="none"/>
        <w:effect w:val="none"/>
      </w:rPr>
    </w:lvl>
    <w:lvl w:ilvl="7">
      <w:start w:val="1"/>
      <w:numFmt w:val="lowerRoman"/>
      <w:lvlText w:val="%8."/>
      <w:lvlJc w:val="right"/>
      <w:pPr>
        <w:ind w:left="5400" w:hanging="360"/>
      </w:pPr>
      <w:rPr>
        <w:strike w:val="0"/>
        <w:dstrike w:val="0"/>
        <w:u w:val="none"/>
        <w:effect w:val="none"/>
      </w:rPr>
    </w:lvl>
    <w:lvl w:ilvl="8">
      <w:start w:val="1"/>
      <w:numFmt w:val="decimal"/>
      <w:lvlText w:val="%9."/>
      <w:lvlJc w:val="left"/>
      <w:pPr>
        <w:ind w:left="6120" w:hanging="360"/>
      </w:pPr>
      <w:rPr>
        <w:strike w:val="0"/>
        <w:dstrike w:val="0"/>
        <w:u w:val="none"/>
        <w:effect w:val="none"/>
      </w:rPr>
    </w:lvl>
  </w:abstractNum>
  <w:abstractNum w:abstractNumId="9"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0"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3" w15:restartNumberingAfterBreak="0">
    <w:nsid w:val="55F97982"/>
    <w:multiLevelType w:val="multilevel"/>
    <w:tmpl w:val="006EE2DC"/>
    <w:numStyleLink w:val="AUFZSCHWARZ"/>
  </w:abstractNum>
  <w:abstractNum w:abstractNumId="14"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612A61B6"/>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788204254">
    <w:abstractNumId w:val="12"/>
  </w:num>
  <w:num w:numId="2" w16cid:durableId="26762586">
    <w:abstractNumId w:val="9"/>
  </w:num>
  <w:num w:numId="3" w16cid:durableId="804664702">
    <w:abstractNumId w:val="2"/>
  </w:num>
  <w:num w:numId="4" w16cid:durableId="1589272785">
    <w:abstractNumId w:val="13"/>
  </w:num>
  <w:num w:numId="5" w16cid:durableId="827788269">
    <w:abstractNumId w:val="6"/>
  </w:num>
  <w:num w:numId="6" w16cid:durableId="1222671307">
    <w:abstractNumId w:val="0"/>
  </w:num>
  <w:num w:numId="7" w16cid:durableId="272446662">
    <w:abstractNumId w:val="10"/>
  </w:num>
  <w:num w:numId="8" w16cid:durableId="527446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1"/>
  </w:num>
  <w:num w:numId="10" w16cid:durableId="1624537535">
    <w:abstractNumId w:val="15"/>
  </w:num>
  <w:num w:numId="11" w16cid:durableId="1621296996">
    <w:abstractNumId w:val="5"/>
  </w:num>
  <w:num w:numId="12" w16cid:durableId="1451624990">
    <w:abstractNumId w:val="18"/>
  </w:num>
  <w:num w:numId="13" w16cid:durableId="1903321324">
    <w:abstractNumId w:val="7"/>
  </w:num>
  <w:num w:numId="14" w16cid:durableId="575557532">
    <w:abstractNumId w:val="11"/>
  </w:num>
  <w:num w:numId="15" w16cid:durableId="235240003">
    <w:abstractNumId w:val="14"/>
  </w:num>
  <w:num w:numId="16" w16cid:durableId="1151943762">
    <w:abstractNumId w:val="3"/>
  </w:num>
  <w:num w:numId="17" w16cid:durableId="132136512">
    <w:abstractNumId w:val="4"/>
  </w:num>
  <w:num w:numId="18" w16cid:durableId="6002599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784801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23124"/>
    <w:rsid w:val="00032302"/>
    <w:rsid w:val="00034080"/>
    <w:rsid w:val="00066D1C"/>
    <w:rsid w:val="00066D46"/>
    <w:rsid w:val="00076FB7"/>
    <w:rsid w:val="000773CE"/>
    <w:rsid w:val="00077C95"/>
    <w:rsid w:val="00090C22"/>
    <w:rsid w:val="000C3261"/>
    <w:rsid w:val="000F7A38"/>
    <w:rsid w:val="000F7DBC"/>
    <w:rsid w:val="00110543"/>
    <w:rsid w:val="00124FE3"/>
    <w:rsid w:val="0013570E"/>
    <w:rsid w:val="00145C42"/>
    <w:rsid w:val="001E2C87"/>
    <w:rsid w:val="002257FC"/>
    <w:rsid w:val="0023211B"/>
    <w:rsid w:val="002331B7"/>
    <w:rsid w:val="00244890"/>
    <w:rsid w:val="00265FDA"/>
    <w:rsid w:val="00275776"/>
    <w:rsid w:val="00294F07"/>
    <w:rsid w:val="00296E99"/>
    <w:rsid w:val="002D683A"/>
    <w:rsid w:val="00316A56"/>
    <w:rsid w:val="0033603F"/>
    <w:rsid w:val="003730B7"/>
    <w:rsid w:val="003737AE"/>
    <w:rsid w:val="003776CB"/>
    <w:rsid w:val="00382989"/>
    <w:rsid w:val="003835BC"/>
    <w:rsid w:val="00393F3D"/>
    <w:rsid w:val="003A31B2"/>
    <w:rsid w:val="003B0882"/>
    <w:rsid w:val="003F37FF"/>
    <w:rsid w:val="003F6FC5"/>
    <w:rsid w:val="003F73E7"/>
    <w:rsid w:val="003F74DE"/>
    <w:rsid w:val="00416672"/>
    <w:rsid w:val="004425BD"/>
    <w:rsid w:val="004431B2"/>
    <w:rsid w:val="00453E24"/>
    <w:rsid w:val="00462958"/>
    <w:rsid w:val="004720D0"/>
    <w:rsid w:val="004A3C1E"/>
    <w:rsid w:val="004D0D62"/>
    <w:rsid w:val="004F196F"/>
    <w:rsid w:val="00506509"/>
    <w:rsid w:val="00526EA9"/>
    <w:rsid w:val="00541557"/>
    <w:rsid w:val="00542E9C"/>
    <w:rsid w:val="005539FA"/>
    <w:rsid w:val="005556D0"/>
    <w:rsid w:val="00566090"/>
    <w:rsid w:val="0057114F"/>
    <w:rsid w:val="005850A6"/>
    <w:rsid w:val="005B54F0"/>
    <w:rsid w:val="005D4A9C"/>
    <w:rsid w:val="005F666B"/>
    <w:rsid w:val="00603F59"/>
    <w:rsid w:val="00692F1B"/>
    <w:rsid w:val="006A6369"/>
    <w:rsid w:val="006A74E0"/>
    <w:rsid w:val="006E58FB"/>
    <w:rsid w:val="006F4F98"/>
    <w:rsid w:val="00744507"/>
    <w:rsid w:val="00766851"/>
    <w:rsid w:val="00771473"/>
    <w:rsid w:val="00780A3E"/>
    <w:rsid w:val="00786A08"/>
    <w:rsid w:val="00795CAB"/>
    <w:rsid w:val="007963FF"/>
    <w:rsid w:val="007C1939"/>
    <w:rsid w:val="007D2F89"/>
    <w:rsid w:val="007D6888"/>
    <w:rsid w:val="007F18C8"/>
    <w:rsid w:val="00821955"/>
    <w:rsid w:val="00834CCA"/>
    <w:rsid w:val="00836238"/>
    <w:rsid w:val="00861909"/>
    <w:rsid w:val="00881283"/>
    <w:rsid w:val="008B6E74"/>
    <w:rsid w:val="008C6989"/>
    <w:rsid w:val="008D11E3"/>
    <w:rsid w:val="008E2B70"/>
    <w:rsid w:val="008F2605"/>
    <w:rsid w:val="009017A7"/>
    <w:rsid w:val="00903044"/>
    <w:rsid w:val="0093126C"/>
    <w:rsid w:val="00931BD1"/>
    <w:rsid w:val="00945433"/>
    <w:rsid w:val="009510C5"/>
    <w:rsid w:val="0095284B"/>
    <w:rsid w:val="00966C21"/>
    <w:rsid w:val="00977622"/>
    <w:rsid w:val="009C0D41"/>
    <w:rsid w:val="009D2061"/>
    <w:rsid w:val="009D67C4"/>
    <w:rsid w:val="009D796A"/>
    <w:rsid w:val="009E0F19"/>
    <w:rsid w:val="009E47B2"/>
    <w:rsid w:val="009F37DC"/>
    <w:rsid w:val="00A04FD6"/>
    <w:rsid w:val="00A17AA9"/>
    <w:rsid w:val="00A634FE"/>
    <w:rsid w:val="00AA05F6"/>
    <w:rsid w:val="00AC588A"/>
    <w:rsid w:val="00AC609E"/>
    <w:rsid w:val="00AD011B"/>
    <w:rsid w:val="00AE592E"/>
    <w:rsid w:val="00AE68D7"/>
    <w:rsid w:val="00AF0464"/>
    <w:rsid w:val="00AF6E4D"/>
    <w:rsid w:val="00B04571"/>
    <w:rsid w:val="00B04987"/>
    <w:rsid w:val="00B35CB5"/>
    <w:rsid w:val="00B47A10"/>
    <w:rsid w:val="00B54B84"/>
    <w:rsid w:val="00B7110B"/>
    <w:rsid w:val="00B8280E"/>
    <w:rsid w:val="00B8581F"/>
    <w:rsid w:val="00BA7686"/>
    <w:rsid w:val="00BC2ACE"/>
    <w:rsid w:val="00BD195E"/>
    <w:rsid w:val="00C31A7C"/>
    <w:rsid w:val="00C31C9F"/>
    <w:rsid w:val="00C46FFB"/>
    <w:rsid w:val="00C51C2B"/>
    <w:rsid w:val="00C52383"/>
    <w:rsid w:val="00CA413A"/>
    <w:rsid w:val="00CB7B3E"/>
    <w:rsid w:val="00CD0480"/>
    <w:rsid w:val="00CD5E3C"/>
    <w:rsid w:val="00CE0829"/>
    <w:rsid w:val="00CE62ED"/>
    <w:rsid w:val="00CF2429"/>
    <w:rsid w:val="00CF7F58"/>
    <w:rsid w:val="00D10476"/>
    <w:rsid w:val="00D35B72"/>
    <w:rsid w:val="00D86C68"/>
    <w:rsid w:val="00DA423C"/>
    <w:rsid w:val="00DA4C07"/>
    <w:rsid w:val="00DB05AD"/>
    <w:rsid w:val="00DC592B"/>
    <w:rsid w:val="00DD034E"/>
    <w:rsid w:val="00DD299C"/>
    <w:rsid w:val="00DE77C1"/>
    <w:rsid w:val="00E159EC"/>
    <w:rsid w:val="00EA1686"/>
    <w:rsid w:val="00EA63E1"/>
    <w:rsid w:val="00EB7E1E"/>
    <w:rsid w:val="00EE3A17"/>
    <w:rsid w:val="00EF337D"/>
    <w:rsid w:val="00F31950"/>
    <w:rsid w:val="00F343FC"/>
    <w:rsid w:val="00F73D44"/>
    <w:rsid w:val="00F73E62"/>
    <w:rsid w:val="00F757DE"/>
    <w:rsid w:val="00F80AA5"/>
    <w:rsid w:val="00F816B6"/>
    <w:rsid w:val="00F947E6"/>
    <w:rsid w:val="00FB6865"/>
    <w:rsid w:val="00FC244C"/>
    <w:rsid w:val="00FC2B60"/>
    <w:rsid w:val="00FC68C9"/>
    <w:rsid w:val="00FC7054"/>
    <w:rsid w:val="00FD0A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1875</Words>
  <Characters>12548</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Flück Mago, GuB PARL</cp:lastModifiedBy>
  <cp:revision>27</cp:revision>
  <dcterms:created xsi:type="dcterms:W3CDTF">2019-01-11T14:41:00Z</dcterms:created>
  <dcterms:modified xsi:type="dcterms:W3CDTF">2026-01-28T13:39:00Z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