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1A847" w14:textId="694A9FC1" w:rsidR="009F37DC" w:rsidRDefault="005407C6" w:rsidP="00506509">
      <w:pPr>
        <w:pStyle w:val="Titel"/>
        <w:tabs>
          <w:tab w:val="left" w:pos="4748"/>
        </w:tabs>
      </w:pPr>
      <w:r>
        <w:t>Anträge</w:t>
      </w:r>
      <w:r w:rsidR="00453E24">
        <w:t xml:space="preserve"> </w:t>
      </w:r>
      <w:r w:rsidR="007F18C8">
        <w:rPr>
          <w:rStyle w:val="berschrift2Zchn"/>
          <w:color w:val="656567" w:themeColor="text2" w:themeShade="BF"/>
        </w:rPr>
        <w:t>(Stan</w:t>
      </w:r>
      <w:r w:rsidR="005E13CA">
        <w:rPr>
          <w:rStyle w:val="berschrift2Zchn"/>
          <w:color w:val="656567" w:themeColor="text2" w:themeShade="BF"/>
        </w:rPr>
        <w:t xml:space="preserve">d </w:t>
      </w:r>
      <w:sdt>
        <w:sdtPr>
          <w:rPr>
            <w:rStyle w:val="berschrift2Zchn"/>
            <w:color w:val="656567" w:themeColor="text2" w:themeShade="BF"/>
          </w:rPr>
          <w:id w:val="880826967"/>
          <w:placeholder>
            <w:docPart w:val="DefaultPlaceholder_-1854013437"/>
          </w:placeholder>
          <w:date w:fullDate="2026-10-27T00:00:00Z">
            <w:dateFormat w:val="dd.MM.yyyy"/>
            <w:lid w:val="de-CH"/>
            <w:storeMappedDataAs w:val="dateTime"/>
            <w:calendar w:val="gregorian"/>
          </w:date>
        </w:sdtPr>
        <w:sdtEndPr>
          <w:rPr>
            <w:rStyle w:val="berschrift2Zchn"/>
          </w:rPr>
        </w:sdtEndPr>
        <w:sdtContent>
          <w:r w:rsidR="00DF69E6">
            <w:rPr>
              <w:rStyle w:val="berschrift2Zchn"/>
              <w:color w:val="656567" w:themeColor="text2" w:themeShade="BF"/>
            </w:rPr>
            <w:t>27.10.2026</w:t>
          </w:r>
        </w:sdtContent>
      </w:sdt>
      <w:r w:rsidR="00453E24">
        <w:rPr>
          <w:rStyle w:val="berschrift2Zchn"/>
          <w:color w:val="656567" w:themeColor="text2" w:themeShade="BF"/>
        </w:rPr>
        <w:t xml:space="preserve">, </w:t>
      </w:r>
      <w:r w:rsidR="00DF69E6">
        <w:rPr>
          <w:rStyle w:val="berschrift2Zchn"/>
          <w:color w:val="656567" w:themeColor="text2" w:themeShade="BF"/>
        </w:rPr>
        <w:t>12</w:t>
      </w:r>
      <w:r w:rsidR="007F18C8">
        <w:rPr>
          <w:rStyle w:val="berschrift2Zchn"/>
          <w:color w:val="656567" w:themeColor="text2" w:themeShade="BF"/>
        </w:rPr>
        <w:t>.</w:t>
      </w:r>
      <w:r w:rsidR="00DF69E6">
        <w:rPr>
          <w:rStyle w:val="berschrift2Zchn"/>
          <w:color w:val="656567" w:themeColor="text2" w:themeShade="BF"/>
        </w:rPr>
        <w:t>0</w:t>
      </w:r>
      <w:r w:rsidR="00D70B6B">
        <w:rPr>
          <w:rStyle w:val="berschrift2Zchn"/>
          <w:color w:val="656567" w:themeColor="text2" w:themeShade="BF"/>
        </w:rPr>
        <w:t>0</w:t>
      </w:r>
      <w:r w:rsidR="007F18C8">
        <w:rPr>
          <w:rStyle w:val="berschrift2Zchn"/>
          <w:color w:val="656567" w:themeColor="text2" w:themeShade="BF"/>
        </w:rPr>
        <w:t xml:space="preserve"> Uhr</w:t>
      </w:r>
      <w:r w:rsidR="00453E24" w:rsidRPr="00453E24">
        <w:rPr>
          <w:rStyle w:val="berschrift2Zchn"/>
          <w:color w:val="656567" w:themeColor="text2" w:themeShade="BF"/>
        </w:rPr>
        <w:t>)</w:t>
      </w:r>
    </w:p>
    <w:p w14:paraId="65318C60" w14:textId="177A4228" w:rsidR="009C0D41" w:rsidRDefault="005407C6" w:rsidP="00453E24">
      <w:pPr>
        <w:pStyle w:val="Untertitel"/>
      </w:pPr>
      <w:r>
        <w:t xml:space="preserve">Stadtratssitzung vom </w:t>
      </w:r>
      <w:r w:rsidR="00D70B6B">
        <w:t>12.</w:t>
      </w:r>
      <w:r w:rsidR="00DF69E6">
        <w:t xml:space="preserve"> November </w:t>
      </w:r>
      <w:r w:rsidR="00D70B6B">
        <w:t>2026</w:t>
      </w:r>
    </w:p>
    <w:p w14:paraId="38E31DF6" w14:textId="6631221B" w:rsidR="00AA05F6" w:rsidRDefault="005407C6" w:rsidP="00AA05F6">
      <w:pPr>
        <w:pStyle w:val="berschrift3"/>
      </w:pPr>
      <w:r>
        <w:t xml:space="preserve">Traktandum </w:t>
      </w:r>
      <w:r w:rsidR="00D70B6B">
        <w:t>6</w:t>
      </w:r>
      <w:r>
        <w:t xml:space="preserve">: </w:t>
      </w:r>
      <w:r w:rsidR="00D70B6B" w:rsidRPr="00D70B6B">
        <w:t xml:space="preserve">Allmenden: Neuordnung und Überarbeitung des Nutzungs- und Gestaltungsplans; Zwischenbericht Testplanung, Stossrichtungen für die weitere Planung </w:t>
      </w:r>
      <w:r>
        <w:t>(</w:t>
      </w:r>
      <w:r w:rsidR="00D70B6B" w:rsidRPr="00D70B6B">
        <w:rPr>
          <w:rFonts w:cstheme="majorHAnsi"/>
        </w:rPr>
        <w:t>2018.TVS.000168</w:t>
      </w:r>
      <w:r w:rsidR="00D70B6B">
        <w:rPr>
          <w:rFonts w:cstheme="majorHAnsi"/>
        </w:rPr>
        <w:t>)</w:t>
      </w:r>
    </w:p>
    <w:tbl>
      <w:tblPr>
        <w:tblStyle w:val="Tabellenraster"/>
        <w:tblW w:w="5000" w:type="pct"/>
        <w:tblLook w:val="04A0" w:firstRow="1" w:lastRow="0" w:firstColumn="1" w:lastColumn="0" w:noHBand="0" w:noVBand="1"/>
      </w:tblPr>
      <w:tblGrid>
        <w:gridCol w:w="676"/>
        <w:gridCol w:w="2259"/>
        <w:gridCol w:w="5245"/>
        <w:gridCol w:w="5331"/>
      </w:tblGrid>
      <w:tr w:rsidR="009B05B6" w14:paraId="4B5EEFC4" w14:textId="77777777" w:rsidTr="00966C21">
        <w:trPr>
          <w:tblHeader/>
        </w:trPr>
        <w:tc>
          <w:tcPr>
            <w:tcW w:w="250" w:type="pct"/>
            <w:tcBorders>
              <w:top w:val="single" w:sz="4" w:space="0" w:color="auto"/>
              <w:left w:val="single" w:sz="4" w:space="0" w:color="auto"/>
              <w:bottom w:val="single" w:sz="4" w:space="0" w:color="auto"/>
              <w:right w:val="single" w:sz="4" w:space="0" w:color="auto"/>
            </w:tcBorders>
            <w:hideMark/>
          </w:tcPr>
          <w:p w14:paraId="7C012D19" w14:textId="77777777" w:rsidR="00795CAB" w:rsidRPr="00966C21" w:rsidRDefault="005407C6" w:rsidP="00966C21">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542C03E7" w14:textId="77777777" w:rsidR="00795CAB" w:rsidRPr="00966C21" w:rsidRDefault="005407C6" w:rsidP="00966C21">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379E9D72" w14:textId="77777777" w:rsidR="00795CAB" w:rsidRPr="00966C21" w:rsidRDefault="005407C6" w:rsidP="00966C21">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5B0AE0CD" w14:textId="77777777" w:rsidR="00795CAB" w:rsidRPr="00966C21" w:rsidRDefault="005407C6" w:rsidP="00966C21">
            <w:pPr>
              <w:spacing w:before="120" w:after="120"/>
              <w:rPr>
                <w:rStyle w:val="Fett"/>
              </w:rPr>
            </w:pPr>
            <w:r w:rsidRPr="00966C21">
              <w:rPr>
                <w:rStyle w:val="Fett"/>
              </w:rPr>
              <w:t>Begründung</w:t>
            </w:r>
          </w:p>
        </w:tc>
      </w:tr>
      <w:tr w:rsidR="00D70B6B" w14:paraId="1CDD8E82" w14:textId="77777777" w:rsidTr="00D70B6B">
        <w:tc>
          <w:tcPr>
            <w:tcW w:w="5000" w:type="pct"/>
            <w:gridSpan w:val="4"/>
            <w:tcBorders>
              <w:top w:val="single" w:sz="4" w:space="0" w:color="auto"/>
              <w:left w:val="single" w:sz="4" w:space="0" w:color="auto"/>
              <w:bottom w:val="single" w:sz="4" w:space="0" w:color="auto"/>
              <w:right w:val="single" w:sz="4" w:space="0" w:color="auto"/>
            </w:tcBorders>
          </w:tcPr>
          <w:p w14:paraId="2741A82D" w14:textId="69605E3F" w:rsidR="00D70B6B" w:rsidRDefault="00D70B6B" w:rsidP="00DF69E6">
            <w:pPr>
              <w:pStyle w:val="berschrift3"/>
              <w:spacing w:before="240" w:after="240"/>
            </w:pPr>
            <w:r w:rsidRPr="00D70B6B">
              <w:t>PLANUNG / GESTALTUNG / ENTSIEGELUNG</w:t>
            </w:r>
          </w:p>
        </w:tc>
      </w:tr>
      <w:tr w:rsidR="00D70B6B" w14:paraId="43002640" w14:textId="77777777" w:rsidTr="00966C21">
        <w:tc>
          <w:tcPr>
            <w:tcW w:w="250" w:type="pct"/>
            <w:tcBorders>
              <w:top w:val="single" w:sz="4" w:space="0" w:color="auto"/>
              <w:left w:val="single" w:sz="4" w:space="0" w:color="auto"/>
              <w:bottom w:val="single" w:sz="4" w:space="0" w:color="auto"/>
              <w:right w:val="single" w:sz="4" w:space="0" w:color="auto"/>
            </w:tcBorders>
          </w:tcPr>
          <w:p w14:paraId="1420FD22"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509BCD67" w14:textId="56C08876" w:rsidR="00D70B6B" w:rsidRDefault="00D70B6B" w:rsidP="00D70B6B">
            <w:r>
              <w:t>PVS-Minderheit</w:t>
            </w:r>
          </w:p>
        </w:tc>
        <w:tc>
          <w:tcPr>
            <w:tcW w:w="1941" w:type="pct"/>
            <w:tcBorders>
              <w:top w:val="single" w:sz="4" w:space="0" w:color="auto"/>
              <w:left w:val="single" w:sz="4" w:space="0" w:color="auto"/>
              <w:bottom w:val="single" w:sz="4" w:space="0" w:color="auto"/>
              <w:right w:val="single" w:sz="4" w:space="0" w:color="auto"/>
            </w:tcBorders>
          </w:tcPr>
          <w:p w14:paraId="1AF1C91F" w14:textId="76649E78" w:rsidR="00495333" w:rsidRDefault="00495333" w:rsidP="00495333">
            <w:pPr>
              <w:spacing w:after="120"/>
            </w:pPr>
            <w:r>
              <w:t>Planungserklärung:</w:t>
            </w:r>
          </w:p>
          <w:p w14:paraId="371EE022" w14:textId="59A4E93E" w:rsidR="00D70B6B" w:rsidRPr="00113DAD" w:rsidRDefault="00D70B6B" w:rsidP="00D70B6B">
            <w:r w:rsidRPr="00113DAD">
              <w:t>Übergeordnete Verkehrsplanungen berücksichtige</w:t>
            </w:r>
            <w:r w:rsidR="00963A48">
              <w:t>n</w:t>
            </w:r>
            <w:r w:rsidR="00495333">
              <w:t>:</w:t>
            </w:r>
          </w:p>
          <w:p w14:paraId="0423D046" w14:textId="4CA4792A" w:rsidR="00D70B6B" w:rsidRDefault="00D70B6B" w:rsidP="00D70B6B">
            <w:r>
              <w:t>Die Neuordnung der Allmenden ist so auszugestalten, dass die Umsetzung der übergeordneten Verkehrsplanungen, insbesondere das BUGAW-Projekt (Anschluss Wankdorf), sowie die Erreichbarkeit des Standorts nicht beeinträchtigt oder präjudiziert werden.</w:t>
            </w:r>
          </w:p>
        </w:tc>
        <w:tc>
          <w:tcPr>
            <w:tcW w:w="1973" w:type="pct"/>
            <w:tcBorders>
              <w:top w:val="single" w:sz="4" w:space="0" w:color="auto"/>
              <w:left w:val="single" w:sz="4" w:space="0" w:color="auto"/>
              <w:bottom w:val="single" w:sz="4" w:space="0" w:color="auto"/>
              <w:right w:val="single" w:sz="4" w:space="0" w:color="auto"/>
            </w:tcBorders>
          </w:tcPr>
          <w:p w14:paraId="6CF9B776" w14:textId="285755A3" w:rsidR="00D70B6B" w:rsidRDefault="00D70B6B" w:rsidP="00D70B6B">
            <w:r>
              <w:t>Im Raum Wankdorf bestehen verschiedene übergeordnete Verkehrsprojekte und Planungen. Die Neuordnung der Allmenden darf diesen nicht vorgreifen oder deren spätere Umsetzung erschweren. Gleichzeitig muss die gute Erreichbarkeit des Wankdorfs für sämtliche Verkehrsträger langfristig gewährleistet bleiben.</w:t>
            </w:r>
          </w:p>
        </w:tc>
      </w:tr>
      <w:tr w:rsidR="00D70B6B" w14:paraId="19A38EF8" w14:textId="77777777" w:rsidTr="00966C21">
        <w:tc>
          <w:tcPr>
            <w:tcW w:w="250" w:type="pct"/>
            <w:tcBorders>
              <w:top w:val="single" w:sz="4" w:space="0" w:color="auto"/>
              <w:left w:val="single" w:sz="4" w:space="0" w:color="auto"/>
              <w:bottom w:val="single" w:sz="4" w:space="0" w:color="auto"/>
              <w:right w:val="single" w:sz="4" w:space="0" w:color="auto"/>
            </w:tcBorders>
          </w:tcPr>
          <w:p w14:paraId="23246FF3"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47E7911F" w14:textId="397D1B77" w:rsidR="00D70B6B" w:rsidRDefault="00D70B6B" w:rsidP="00D70B6B">
            <w:r>
              <w:t>PVS</w:t>
            </w:r>
          </w:p>
        </w:tc>
        <w:tc>
          <w:tcPr>
            <w:tcW w:w="1941" w:type="pct"/>
            <w:tcBorders>
              <w:top w:val="single" w:sz="4" w:space="0" w:color="auto"/>
              <w:left w:val="single" w:sz="4" w:space="0" w:color="auto"/>
              <w:bottom w:val="single" w:sz="4" w:space="0" w:color="auto"/>
              <w:right w:val="single" w:sz="4" w:space="0" w:color="auto"/>
            </w:tcBorders>
          </w:tcPr>
          <w:p w14:paraId="26E19E2F" w14:textId="77777777" w:rsidR="00495333" w:rsidRDefault="00495333" w:rsidP="00495333">
            <w:pPr>
              <w:spacing w:after="120"/>
            </w:pPr>
            <w:r>
              <w:t>Planungserklärung:</w:t>
            </w:r>
          </w:p>
          <w:p w14:paraId="19B735EB" w14:textId="339D67B1" w:rsidR="00D70B6B" w:rsidRPr="00113DAD" w:rsidRDefault="00D70B6B" w:rsidP="00D70B6B">
            <w:r>
              <w:t>Es sind gemeinsam mit Akteuren des Perimeters Wankdorf Massnahmen zu erarbeiten, um die Anzahl MIV-Fahrten im Perimeter weiter zu reduzieren.</w:t>
            </w:r>
          </w:p>
        </w:tc>
        <w:tc>
          <w:tcPr>
            <w:tcW w:w="1973" w:type="pct"/>
            <w:tcBorders>
              <w:top w:val="single" w:sz="4" w:space="0" w:color="auto"/>
              <w:left w:val="single" w:sz="4" w:space="0" w:color="auto"/>
              <w:bottom w:val="single" w:sz="4" w:space="0" w:color="auto"/>
              <w:right w:val="single" w:sz="4" w:space="0" w:color="auto"/>
            </w:tcBorders>
          </w:tcPr>
          <w:p w14:paraId="249C422D" w14:textId="5CB17D88" w:rsidR="00D70B6B" w:rsidRDefault="00D70B6B" w:rsidP="00D70B6B">
            <w:r>
              <w:t>Im Sinne einer nachhaltigen Mobilität und des Klimareglements sind die Anzahl MIV-Fahrten gemeinsam mit den Akteuren YB, BernExpo, Stadion Wankdorf, Festhalle etc. im Raum Wankdorf zu reduzieren. Ein Mobilitätskonzept soll Massnahmen aufzeigen, mit welchen nachhaltige Mobilitätsformen (Fuss &amp; Veloverkehr &amp; ÖV) gefördert und dessen Infrastruktur ausgebaut werden kann.</w:t>
            </w:r>
          </w:p>
        </w:tc>
      </w:tr>
      <w:tr w:rsidR="00D70B6B" w14:paraId="67EDDDAB" w14:textId="77777777" w:rsidTr="00966C21">
        <w:tc>
          <w:tcPr>
            <w:tcW w:w="250" w:type="pct"/>
            <w:tcBorders>
              <w:top w:val="single" w:sz="4" w:space="0" w:color="auto"/>
              <w:left w:val="single" w:sz="4" w:space="0" w:color="auto"/>
              <w:bottom w:val="single" w:sz="4" w:space="0" w:color="auto"/>
              <w:right w:val="single" w:sz="4" w:space="0" w:color="auto"/>
            </w:tcBorders>
          </w:tcPr>
          <w:p w14:paraId="1C984E78"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1A07084B" w14:textId="440C69AF" w:rsidR="00D70B6B" w:rsidRDefault="00D70B6B" w:rsidP="00D70B6B">
            <w:r>
              <w:t>PVS</w:t>
            </w:r>
          </w:p>
        </w:tc>
        <w:tc>
          <w:tcPr>
            <w:tcW w:w="1941" w:type="pct"/>
            <w:tcBorders>
              <w:top w:val="single" w:sz="4" w:space="0" w:color="auto"/>
              <w:left w:val="single" w:sz="4" w:space="0" w:color="auto"/>
              <w:bottom w:val="single" w:sz="4" w:space="0" w:color="auto"/>
              <w:right w:val="single" w:sz="4" w:space="0" w:color="auto"/>
            </w:tcBorders>
          </w:tcPr>
          <w:p w14:paraId="705D1CA6" w14:textId="77777777" w:rsidR="00495333" w:rsidRDefault="00495333" w:rsidP="00495333">
            <w:pPr>
              <w:spacing w:after="120"/>
            </w:pPr>
            <w:r>
              <w:t>Planungserklärung:</w:t>
            </w:r>
          </w:p>
          <w:p w14:paraId="5173F731" w14:textId="5A41286D" w:rsidR="00D70B6B" w:rsidRPr="00113DAD" w:rsidRDefault="00D70B6B" w:rsidP="00D70B6B">
            <w:r w:rsidRPr="00113DAD">
              <w:t>Keine teuren Provisorien und späteren Rückbauten</w:t>
            </w:r>
            <w:r w:rsidR="00495333">
              <w:t>:</w:t>
            </w:r>
          </w:p>
          <w:p w14:paraId="1AD5EFA7" w14:textId="68DF03A4" w:rsidR="00D70B6B" w:rsidRPr="00113DAD" w:rsidRDefault="00D70B6B" w:rsidP="00D70B6B">
            <w:r>
              <w:t>Sofortmassnahmen im Rahmen der Neuordnung sind auf notwendige, zweckmässige und kostengünstige Massnahmen zu beschränken. Auf Investitionen, die aufgrund der späteren definitiven Neuordnung voraussichtlich wieder zurückgebaut oder wesentlich angepasst werden müssen, ist zu verzichten.</w:t>
            </w:r>
          </w:p>
        </w:tc>
        <w:tc>
          <w:tcPr>
            <w:tcW w:w="1973" w:type="pct"/>
            <w:tcBorders>
              <w:top w:val="single" w:sz="4" w:space="0" w:color="auto"/>
              <w:left w:val="single" w:sz="4" w:space="0" w:color="auto"/>
              <w:bottom w:val="single" w:sz="4" w:space="0" w:color="auto"/>
              <w:right w:val="single" w:sz="4" w:space="0" w:color="auto"/>
            </w:tcBorders>
          </w:tcPr>
          <w:p w14:paraId="1C579B4F" w14:textId="425E6A13" w:rsidR="00D70B6B" w:rsidRDefault="00D70B6B" w:rsidP="00D70B6B">
            <w:r>
              <w:t>Solange die definitive Gestaltung der Allmenden noch nicht feststeht, ist bei vorgezogenen Investitionen Zurückhaltung angezeigt. Es ist weder finanziell noch ökologisch sinnvoll, heute Anlagen zu erstellen, die wenige Jahre später aufgrund der definitiven Planung wieder entfernt oder wesentlich umgebaut werden müssen.</w:t>
            </w:r>
          </w:p>
        </w:tc>
      </w:tr>
      <w:tr w:rsidR="00D70B6B" w14:paraId="4967042C" w14:textId="77777777" w:rsidTr="00966C21">
        <w:tc>
          <w:tcPr>
            <w:tcW w:w="250" w:type="pct"/>
            <w:tcBorders>
              <w:top w:val="single" w:sz="4" w:space="0" w:color="auto"/>
              <w:left w:val="single" w:sz="4" w:space="0" w:color="auto"/>
              <w:bottom w:val="single" w:sz="4" w:space="0" w:color="auto"/>
              <w:right w:val="single" w:sz="4" w:space="0" w:color="auto"/>
            </w:tcBorders>
          </w:tcPr>
          <w:p w14:paraId="4198BE0D"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1BBFD6E9" w14:textId="3B18290E" w:rsidR="00D70B6B" w:rsidRDefault="00D70B6B" w:rsidP="00D70B6B">
            <w:r>
              <w:t>PVS</w:t>
            </w:r>
          </w:p>
        </w:tc>
        <w:tc>
          <w:tcPr>
            <w:tcW w:w="1941" w:type="pct"/>
            <w:tcBorders>
              <w:top w:val="single" w:sz="4" w:space="0" w:color="auto"/>
              <w:left w:val="single" w:sz="4" w:space="0" w:color="auto"/>
              <w:bottom w:val="single" w:sz="4" w:space="0" w:color="auto"/>
              <w:right w:val="single" w:sz="4" w:space="0" w:color="auto"/>
            </w:tcBorders>
          </w:tcPr>
          <w:p w14:paraId="14595CCD" w14:textId="77777777" w:rsidR="00495333" w:rsidRDefault="00495333" w:rsidP="00495333">
            <w:pPr>
              <w:spacing w:after="120"/>
            </w:pPr>
            <w:r>
              <w:t>Planungserklärung:</w:t>
            </w:r>
          </w:p>
          <w:p w14:paraId="29A4687C" w14:textId="779FB51B" w:rsidR="00D70B6B" w:rsidRPr="00113DAD" w:rsidRDefault="00D70B6B" w:rsidP="00D70B6B">
            <w:r w:rsidRPr="00583C2A">
              <w:t xml:space="preserve">Wird die Veranstaltungsfläche in ihrer Platzierung verschoben, so darf die </w:t>
            </w:r>
            <w:r>
              <w:t>dafür</w:t>
            </w:r>
            <w:r w:rsidRPr="00583C2A">
              <w:t xml:space="preserve"> versiegelte Fläche auf dem Areal nicht erhöht werden.</w:t>
            </w:r>
          </w:p>
        </w:tc>
        <w:tc>
          <w:tcPr>
            <w:tcW w:w="1973" w:type="pct"/>
            <w:tcBorders>
              <w:top w:val="single" w:sz="4" w:space="0" w:color="auto"/>
              <w:left w:val="single" w:sz="4" w:space="0" w:color="auto"/>
              <w:bottom w:val="single" w:sz="4" w:space="0" w:color="auto"/>
              <w:right w:val="single" w:sz="4" w:space="0" w:color="auto"/>
            </w:tcBorders>
          </w:tcPr>
          <w:p w14:paraId="23492D99" w14:textId="1675416C" w:rsidR="00D70B6B" w:rsidRDefault="00D70B6B" w:rsidP="00495333">
            <w:r>
              <w:t>Der Gemeinderat sieht vor, die Veranstaltungsfläche nicht zu vergrössern, aber auch nicht zu verkleinern. Falls es zu einer Verschiebung der Fläche kommt, soll er darauf achten, dass keine zusätzliche versiegelte Fläche entsteht und somit die versiegelte Fläche nicht erhöht wird.</w:t>
            </w:r>
          </w:p>
        </w:tc>
      </w:tr>
      <w:tr w:rsidR="00D70B6B" w14:paraId="4560C9E2" w14:textId="77777777" w:rsidTr="00D70B6B">
        <w:tc>
          <w:tcPr>
            <w:tcW w:w="5000" w:type="pct"/>
            <w:gridSpan w:val="4"/>
            <w:tcBorders>
              <w:top w:val="single" w:sz="4" w:space="0" w:color="auto"/>
              <w:left w:val="single" w:sz="4" w:space="0" w:color="auto"/>
              <w:bottom w:val="single" w:sz="4" w:space="0" w:color="auto"/>
              <w:right w:val="single" w:sz="4" w:space="0" w:color="auto"/>
            </w:tcBorders>
          </w:tcPr>
          <w:p w14:paraId="5749CD96" w14:textId="75265642" w:rsidR="00D70B6B" w:rsidRDefault="00D70B6B" w:rsidP="00495333">
            <w:pPr>
              <w:pStyle w:val="berschrift3"/>
              <w:spacing w:before="240" w:after="240"/>
            </w:pPr>
            <w:r w:rsidRPr="00D70B6B">
              <w:t>PARKIERUNG</w:t>
            </w:r>
          </w:p>
        </w:tc>
      </w:tr>
      <w:tr w:rsidR="00D70B6B" w14:paraId="29CDE1A3" w14:textId="77777777" w:rsidTr="00966C21">
        <w:tc>
          <w:tcPr>
            <w:tcW w:w="250" w:type="pct"/>
            <w:tcBorders>
              <w:top w:val="single" w:sz="4" w:space="0" w:color="auto"/>
              <w:left w:val="single" w:sz="4" w:space="0" w:color="auto"/>
              <w:bottom w:val="single" w:sz="4" w:space="0" w:color="auto"/>
              <w:right w:val="single" w:sz="4" w:space="0" w:color="auto"/>
            </w:tcBorders>
          </w:tcPr>
          <w:p w14:paraId="6473CCB9"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4981C4C6" w14:textId="0B203D34" w:rsidR="00D70B6B" w:rsidRDefault="00D70B6B" w:rsidP="00D70B6B">
            <w:r w:rsidRPr="009C7414">
              <w:t>PV</w:t>
            </w:r>
            <w:r>
              <w:t>S</w:t>
            </w:r>
          </w:p>
        </w:tc>
        <w:tc>
          <w:tcPr>
            <w:tcW w:w="1941" w:type="pct"/>
            <w:tcBorders>
              <w:top w:val="single" w:sz="4" w:space="0" w:color="auto"/>
              <w:left w:val="single" w:sz="4" w:space="0" w:color="auto"/>
              <w:bottom w:val="single" w:sz="4" w:space="0" w:color="auto"/>
              <w:right w:val="single" w:sz="4" w:space="0" w:color="auto"/>
            </w:tcBorders>
          </w:tcPr>
          <w:p w14:paraId="366521F8" w14:textId="77777777" w:rsidR="00495333" w:rsidRDefault="00495333" w:rsidP="00495333">
            <w:pPr>
              <w:spacing w:after="120"/>
            </w:pPr>
            <w:r>
              <w:t>Planungserklärung:</w:t>
            </w:r>
          </w:p>
          <w:p w14:paraId="711AFD84" w14:textId="144DCC28" w:rsidR="00D70B6B" w:rsidRPr="00461ADC" w:rsidRDefault="00D70B6B" w:rsidP="008E7764">
            <w:pPr>
              <w:rPr>
                <w:b/>
                <w:bCs/>
              </w:rPr>
            </w:pPr>
            <w:r w:rsidRPr="00A5017D">
              <w:t>Bedarfsgerechte Parkierung sicherstellen</w:t>
            </w:r>
            <w:r w:rsidR="00495333">
              <w:t>:</w:t>
            </w:r>
          </w:p>
          <w:p w14:paraId="1266CB88" w14:textId="337C91E9" w:rsidR="00D70B6B" w:rsidRPr="00113DAD" w:rsidRDefault="00D70B6B" w:rsidP="00D70B6B">
            <w:r>
              <w:t>Bei der weiteren Planung ist eine bedarfsgerechte Anzahl Parkplätze sicherzustellen. Bestehende oberirdische Parkplätze sind erst aufzuheben, wenn der entsprechende Bedarf überprüft und notwendige Ersatzmöglichkeiten tatsächlich zur Verfügung stehen.</w:t>
            </w:r>
          </w:p>
        </w:tc>
        <w:tc>
          <w:tcPr>
            <w:tcW w:w="1973" w:type="pct"/>
            <w:tcBorders>
              <w:top w:val="single" w:sz="4" w:space="0" w:color="auto"/>
              <w:left w:val="single" w:sz="4" w:space="0" w:color="auto"/>
              <w:bottom w:val="single" w:sz="4" w:space="0" w:color="auto"/>
              <w:right w:val="single" w:sz="4" w:space="0" w:color="auto"/>
            </w:tcBorders>
          </w:tcPr>
          <w:p w14:paraId="0C9ACD97" w14:textId="25B1709E" w:rsidR="00D70B6B" w:rsidRDefault="00D70B6B" w:rsidP="00D70B6B">
            <w:r>
              <w:t>Die Allmenden und das Umfeld des Wankdorfs weisen aufgrund der verschiedenen Sport-, Veranstaltungs- und Freizeitnutzungen zeitweise einen erheblichen Parkplatzbedarf auf. Eine Reduktion der Parkierung darf deshalb nicht zum planerischen Selbstzweck werden. Entscheidend müssen der tatsächliche Bedarf sowie die Funktionsfähigkeit und Erreichbarkeit des Gesamtstandorts sein.</w:t>
            </w:r>
          </w:p>
        </w:tc>
      </w:tr>
      <w:tr w:rsidR="00D70B6B" w14:paraId="7E9A8403" w14:textId="77777777" w:rsidTr="0003510D">
        <w:tc>
          <w:tcPr>
            <w:tcW w:w="250" w:type="pct"/>
            <w:tcBorders>
              <w:top w:val="single" w:sz="4" w:space="0" w:color="auto"/>
              <w:left w:val="single" w:sz="4" w:space="0" w:color="auto"/>
              <w:bottom w:val="single" w:sz="4" w:space="0" w:color="auto"/>
              <w:right w:val="single" w:sz="4" w:space="0" w:color="auto"/>
            </w:tcBorders>
          </w:tcPr>
          <w:p w14:paraId="7CB44C57"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2BE18F68" w14:textId="598F99D9" w:rsidR="00D70B6B" w:rsidRDefault="00D70B6B" w:rsidP="00D70B6B">
            <w:r>
              <w:t>PVS-Minderheit</w:t>
            </w:r>
          </w:p>
        </w:tc>
        <w:tc>
          <w:tcPr>
            <w:tcW w:w="1941" w:type="pct"/>
            <w:tcBorders>
              <w:top w:val="single" w:sz="4" w:space="0" w:color="auto"/>
              <w:left w:val="single" w:sz="4" w:space="0" w:color="auto"/>
              <w:bottom w:val="single" w:sz="4" w:space="0" w:color="auto"/>
              <w:right w:val="single" w:sz="4" w:space="0" w:color="auto"/>
            </w:tcBorders>
          </w:tcPr>
          <w:p w14:paraId="745ABB7D" w14:textId="77777777" w:rsidR="00495333" w:rsidRDefault="00495333" w:rsidP="00495333">
            <w:pPr>
              <w:spacing w:after="120"/>
            </w:pPr>
            <w:r>
              <w:t>Planungserklärung:</w:t>
            </w:r>
          </w:p>
          <w:p w14:paraId="07474E8B" w14:textId="7BC2C867" w:rsidR="00D70B6B" w:rsidRPr="00113DAD" w:rsidRDefault="00D70B6B" w:rsidP="00D70B6B">
            <w:r w:rsidRPr="000F3E10">
              <w:t>Ohne nachgewiesener Bedarf soll auf den Bau einer Parkierungsanlage, ob unterirdisch oder oberirdisch, verzichtet werden</w:t>
            </w:r>
            <w:r w:rsidRPr="00227E51">
              <w:t>.</w:t>
            </w:r>
          </w:p>
        </w:tc>
        <w:tc>
          <w:tcPr>
            <w:tcW w:w="1973" w:type="pct"/>
            <w:tcBorders>
              <w:top w:val="single" w:sz="4" w:space="0" w:color="auto"/>
              <w:left w:val="single" w:sz="4" w:space="0" w:color="auto"/>
              <w:bottom w:val="single" w:sz="4" w:space="0" w:color="auto"/>
              <w:right w:val="single" w:sz="4" w:space="0" w:color="auto"/>
            </w:tcBorders>
            <w:vAlign w:val="center"/>
          </w:tcPr>
          <w:p w14:paraId="3B76E110" w14:textId="77777777" w:rsidR="00D70B6B" w:rsidRDefault="00D70B6B" w:rsidP="00D70B6B">
            <w:pPr>
              <w:spacing w:after="120"/>
            </w:pPr>
            <w:r>
              <w:t>Als Grundlage für die Ersatzparkplätze wurden veraltete Verkehrszählungen verwendet. Diese gingen von einem hohen MIV-Verkehrswachstum aus. Durch die erfolgte Innenverdichtung im ESP konnte der MIV aber bedeutend reduziert werden, trotz zusätzlicher Nutzungen. Damit besteht für neue Nutzungen (Stadioninnenverdichtung, Veranstaltungsparkplätze) Spielraum.</w:t>
            </w:r>
          </w:p>
          <w:p w14:paraId="5AA4F6BB" w14:textId="77777777" w:rsidR="00D70B6B" w:rsidRDefault="00D70B6B" w:rsidP="00D70B6B">
            <w:pPr>
              <w:spacing w:after="120"/>
            </w:pPr>
            <w:r>
              <w:t xml:space="preserve">Der Kanton ist inzwischen bereit, neue Zahlen als Grundlage für den Richtplan zu erheben und die Auslastung der bestehenden Parkierungsangebote </w:t>
            </w:r>
            <w:r>
              <w:lastRenderedPageBreak/>
              <w:t>auszuwerten. Diese sollen als Grundlage genutzt werden, um das bisherige Ersatzangebot (980 Parkplätze) zu revidieren. Die Zahlen sollen im Herbst 2026 vorliegen.</w:t>
            </w:r>
          </w:p>
          <w:p w14:paraId="059A5A06" w14:textId="6FDF7BAB" w:rsidR="00D70B6B" w:rsidRDefault="00D70B6B" w:rsidP="00D70B6B">
            <w:pPr>
              <w:spacing w:after="120"/>
            </w:pPr>
            <w:r>
              <w:t>Die Mitwirkung zur Testplanung zeigt eine grosse Skepsis v.a. gegenüber einer unterirdischen Parkierung. vgl. Mitwirkungsbericht, S.37:</w:t>
            </w:r>
          </w:p>
          <w:p w14:paraId="0D7C55D9" w14:textId="77777777" w:rsidR="00D70B6B" w:rsidRDefault="00D70B6B" w:rsidP="00D70B6B">
            <w:pPr>
              <w:spacing w:after="120"/>
            </w:pPr>
            <w:r>
              <w:t>«</w:t>
            </w:r>
            <w:r w:rsidRPr="008A7720">
              <w:rPr>
                <w:i/>
                <w:iCs/>
              </w:rPr>
              <w:t>Die unterirdische Lösung wird nur vereinzelt präferiert. In Frage gestellt wird, ob eine Einstellhalle bewilligungstechnisch tatsächlich einfacher umsetzbar ist und ob die Allmend überhaupt als Standort für eine solche in Frage kommt. Vor allem werden die ökologischen Konsequenzen einer solchen Infrastruktur, die dafür nötigen Erdbewegungen und hohen Kosten kritisiert.</w:t>
            </w:r>
            <w:r>
              <w:rPr>
                <w:i/>
                <w:iCs/>
              </w:rPr>
              <w:t>»</w:t>
            </w:r>
          </w:p>
          <w:p w14:paraId="559CE218" w14:textId="75F62C1D" w:rsidR="00D70B6B" w:rsidRDefault="00D70B6B" w:rsidP="00D70B6B">
            <w:r>
              <w:t>Ebenso kritisch äussern sich die Autor*innen des ISOS-Fachgutachtens zu den Allmenden (vgl. S.32/33, 2026): «</w:t>
            </w:r>
            <w:r w:rsidRPr="008A7720">
              <w:rPr>
                <w:i/>
                <w:iCs/>
              </w:rPr>
              <w:t>Jegliche Parkierungslösung auf den Allmenden - ob ober- oder unterirdisch - sollte alternativen Lösungsvorschlägen ausserhalb des Freiraums untergeordnet werden. Daher ist eine umfangreiche weitgehende und zusätzliche Evaluation von Vorschlägen erforderlich, um der Brisanz einer potenziellen Schwächung des ISOS-Ortsbilds bei einem Eingriff auf den Allmenden gerecht zu werden</w:t>
            </w:r>
            <w:r>
              <w:t>.»</w:t>
            </w:r>
          </w:p>
        </w:tc>
      </w:tr>
      <w:tr w:rsidR="00D70B6B" w14:paraId="178DD04E" w14:textId="77777777" w:rsidTr="00966C21">
        <w:tc>
          <w:tcPr>
            <w:tcW w:w="250" w:type="pct"/>
            <w:tcBorders>
              <w:top w:val="single" w:sz="4" w:space="0" w:color="auto"/>
              <w:left w:val="single" w:sz="4" w:space="0" w:color="auto"/>
              <w:bottom w:val="single" w:sz="4" w:space="0" w:color="auto"/>
              <w:right w:val="single" w:sz="4" w:space="0" w:color="auto"/>
            </w:tcBorders>
          </w:tcPr>
          <w:p w14:paraId="2C514E0F"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462C609A" w14:textId="30B89189" w:rsidR="00D70B6B" w:rsidRDefault="00D70B6B" w:rsidP="00D70B6B">
            <w:r w:rsidRPr="009C7414">
              <w:t>PVS</w:t>
            </w:r>
          </w:p>
        </w:tc>
        <w:tc>
          <w:tcPr>
            <w:tcW w:w="1941" w:type="pct"/>
            <w:tcBorders>
              <w:top w:val="single" w:sz="4" w:space="0" w:color="auto"/>
              <w:left w:val="single" w:sz="4" w:space="0" w:color="auto"/>
              <w:bottom w:val="single" w:sz="4" w:space="0" w:color="auto"/>
              <w:right w:val="single" w:sz="4" w:space="0" w:color="auto"/>
            </w:tcBorders>
          </w:tcPr>
          <w:p w14:paraId="489A33EA" w14:textId="77777777" w:rsidR="00BF2B83" w:rsidRDefault="00BF2B83" w:rsidP="00BF2B83">
            <w:pPr>
              <w:spacing w:after="120"/>
            </w:pPr>
            <w:r>
              <w:t>Planungserklärung:</w:t>
            </w:r>
          </w:p>
          <w:p w14:paraId="2F82D4E7" w14:textId="19C76258" w:rsidR="00D70B6B" w:rsidRPr="00113DAD" w:rsidRDefault="00D70B6B" w:rsidP="00D70B6B">
            <w:r w:rsidRPr="002F44E0">
              <w:t xml:space="preserve">Beim Bau einer Parkierungsanlage </w:t>
            </w:r>
            <w:r>
              <w:t xml:space="preserve">soll die Infrastruktur so zur Verfügung gestellt werden, dass </w:t>
            </w:r>
            <w:r w:rsidRPr="002F44E0">
              <w:t xml:space="preserve">die Parkierungsmöglichkeiten </w:t>
            </w:r>
            <w:r>
              <w:t>zukunftsweisend ausreichend</w:t>
            </w:r>
            <w:r w:rsidRPr="002F44E0">
              <w:t xml:space="preserve"> elektrisch </w:t>
            </w:r>
            <w:r>
              <w:t>ausgebaut werden können.</w:t>
            </w:r>
          </w:p>
        </w:tc>
        <w:tc>
          <w:tcPr>
            <w:tcW w:w="1973" w:type="pct"/>
            <w:tcBorders>
              <w:top w:val="single" w:sz="4" w:space="0" w:color="auto"/>
              <w:left w:val="single" w:sz="4" w:space="0" w:color="auto"/>
              <w:bottom w:val="single" w:sz="4" w:space="0" w:color="auto"/>
              <w:right w:val="single" w:sz="4" w:space="0" w:color="auto"/>
            </w:tcBorders>
          </w:tcPr>
          <w:p w14:paraId="492E7D68" w14:textId="597F3733" w:rsidR="00D70B6B" w:rsidRDefault="00D70B6B" w:rsidP="00D70B6B">
            <w:r w:rsidRPr="002F44E0">
              <w:t>Die Elektrifizierung des Fahrzeugbestands schreitet in der Schweiz weiter voran. Bei der Förderung der E-Mobilität hat die Stadt Bern noch Luft nach oben und ist ein wichtiger Schritt zu Netto-Null. E-Mobilität muss von Beginn an flächendeckend mitgedacht werden.</w:t>
            </w:r>
          </w:p>
        </w:tc>
      </w:tr>
      <w:tr w:rsidR="00D70B6B" w14:paraId="502D1C73" w14:textId="77777777" w:rsidTr="00966C21">
        <w:tc>
          <w:tcPr>
            <w:tcW w:w="250" w:type="pct"/>
            <w:tcBorders>
              <w:top w:val="single" w:sz="4" w:space="0" w:color="auto"/>
              <w:left w:val="single" w:sz="4" w:space="0" w:color="auto"/>
              <w:bottom w:val="single" w:sz="4" w:space="0" w:color="auto"/>
              <w:right w:val="single" w:sz="4" w:space="0" w:color="auto"/>
            </w:tcBorders>
          </w:tcPr>
          <w:p w14:paraId="0D802177"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07907886" w14:textId="352583AD" w:rsidR="00D70B6B" w:rsidRDefault="00D70B6B" w:rsidP="00D70B6B">
            <w:r w:rsidRPr="00C93453">
              <w:t>PVS</w:t>
            </w:r>
          </w:p>
        </w:tc>
        <w:tc>
          <w:tcPr>
            <w:tcW w:w="1941" w:type="pct"/>
            <w:tcBorders>
              <w:top w:val="single" w:sz="4" w:space="0" w:color="auto"/>
              <w:left w:val="single" w:sz="4" w:space="0" w:color="auto"/>
              <w:bottom w:val="single" w:sz="4" w:space="0" w:color="auto"/>
              <w:right w:val="single" w:sz="4" w:space="0" w:color="auto"/>
            </w:tcBorders>
          </w:tcPr>
          <w:p w14:paraId="201D477B" w14:textId="77777777" w:rsidR="00BF2B83" w:rsidRDefault="00BF2B83" w:rsidP="00BF2B83">
            <w:pPr>
              <w:spacing w:after="120"/>
            </w:pPr>
            <w:r>
              <w:t>Planungserklärung:</w:t>
            </w:r>
          </w:p>
          <w:p w14:paraId="4C6C5930" w14:textId="3D764B80" w:rsidR="00D70B6B" w:rsidRPr="00113DAD" w:rsidRDefault="00D70B6B" w:rsidP="00D70B6B">
            <w:r w:rsidRPr="009E2B04">
              <w:t xml:space="preserve">Der Standort der </w:t>
            </w:r>
            <w:r w:rsidRPr="00C93453">
              <w:t>möglichen neuen Einstellhalle soll weitgehend unterhalb von befestigten Flächen</w:t>
            </w:r>
            <w:r w:rsidR="00BF2B83">
              <w:t xml:space="preserve"> </w:t>
            </w:r>
            <w:r w:rsidRPr="00C93453">
              <w:t>/</w:t>
            </w:r>
            <w:r w:rsidR="00BF2B83">
              <w:t xml:space="preserve"> </w:t>
            </w:r>
            <w:r w:rsidRPr="00C93453">
              <w:t xml:space="preserve">Infrastrukturanlagen liegen, damit die Grünflächen nicht tangiert werden. Für den Standort einer </w:t>
            </w:r>
            <w:r w:rsidRPr="00C93453">
              <w:lastRenderedPageBreak/>
              <w:t>möglichen Einstellhalle seien prioritär bereits versiegelte Flächen</w:t>
            </w:r>
            <w:r w:rsidRPr="009E2B04">
              <w:t xml:space="preserve"> vor</w:t>
            </w:r>
            <w:r>
              <w:t>zu</w:t>
            </w:r>
            <w:r w:rsidRPr="009E2B04">
              <w:t>sehen.</w:t>
            </w:r>
          </w:p>
        </w:tc>
        <w:tc>
          <w:tcPr>
            <w:tcW w:w="1973" w:type="pct"/>
            <w:tcBorders>
              <w:top w:val="single" w:sz="4" w:space="0" w:color="auto"/>
              <w:left w:val="single" w:sz="4" w:space="0" w:color="auto"/>
              <w:bottom w:val="single" w:sz="4" w:space="0" w:color="auto"/>
              <w:right w:val="single" w:sz="4" w:space="0" w:color="auto"/>
            </w:tcBorders>
          </w:tcPr>
          <w:p w14:paraId="041E3034" w14:textId="3E1E12E7" w:rsidR="00D70B6B" w:rsidRDefault="00D70B6B" w:rsidP="00D70B6B">
            <w:r>
              <w:lastRenderedPageBreak/>
              <w:t>Eine ähnliche Planungserklärung wurde bereits 2024 vom Stadtrat gutgeheissen. Es ist opportun, diese Richtlinie zu diesem Zeitpunkt noch einmal zu bekräftigen.</w:t>
            </w:r>
          </w:p>
          <w:p w14:paraId="73A65C3A" w14:textId="152BF2A4" w:rsidR="00D70B6B" w:rsidRDefault="00D70B6B" w:rsidP="00D70B6B">
            <w:r>
              <w:lastRenderedPageBreak/>
              <w:t>Im Vergleich neu ist die Präzisierung, die Einstellhalle unter bereits heute versiegelte Flächen zu platzieren.</w:t>
            </w:r>
          </w:p>
        </w:tc>
      </w:tr>
      <w:tr w:rsidR="00D70B6B" w14:paraId="57F7F67C" w14:textId="77777777" w:rsidTr="00966C21">
        <w:tc>
          <w:tcPr>
            <w:tcW w:w="250" w:type="pct"/>
            <w:tcBorders>
              <w:top w:val="single" w:sz="4" w:space="0" w:color="auto"/>
              <w:left w:val="single" w:sz="4" w:space="0" w:color="auto"/>
              <w:bottom w:val="single" w:sz="4" w:space="0" w:color="auto"/>
              <w:right w:val="single" w:sz="4" w:space="0" w:color="auto"/>
            </w:tcBorders>
          </w:tcPr>
          <w:p w14:paraId="5D23EE48"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467937E4" w14:textId="693DBE2F" w:rsidR="00D70B6B" w:rsidRPr="00C93453" w:rsidRDefault="00D70B6B" w:rsidP="00D70B6B">
            <w:r w:rsidRPr="00C93453">
              <w:t>PVS</w:t>
            </w:r>
          </w:p>
        </w:tc>
        <w:tc>
          <w:tcPr>
            <w:tcW w:w="1941" w:type="pct"/>
            <w:tcBorders>
              <w:top w:val="single" w:sz="4" w:space="0" w:color="auto"/>
              <w:left w:val="single" w:sz="4" w:space="0" w:color="auto"/>
              <w:bottom w:val="single" w:sz="4" w:space="0" w:color="auto"/>
              <w:right w:val="single" w:sz="4" w:space="0" w:color="auto"/>
            </w:tcBorders>
          </w:tcPr>
          <w:p w14:paraId="511FA972" w14:textId="77777777" w:rsidR="00BF2B83" w:rsidRDefault="00BF2B83" w:rsidP="00BF2B83">
            <w:pPr>
              <w:spacing w:after="120"/>
            </w:pPr>
            <w:r>
              <w:t>Planungserklärung:</w:t>
            </w:r>
          </w:p>
          <w:p w14:paraId="336209B5" w14:textId="00B60405" w:rsidR="00D70B6B" w:rsidRPr="009E2B04" w:rsidRDefault="00D70B6B" w:rsidP="00D70B6B">
            <w:r w:rsidRPr="0009539D">
              <w:t>Der Gemeinderat setzt sich beim Kanton für eine weitere Reduktion der im Richtplan festgeschriebenen Anzahl Veranstaltungsparkplätze im Perimeter Wankdorf ein.</w:t>
            </w:r>
          </w:p>
        </w:tc>
        <w:tc>
          <w:tcPr>
            <w:tcW w:w="1973" w:type="pct"/>
            <w:tcBorders>
              <w:top w:val="single" w:sz="4" w:space="0" w:color="auto"/>
              <w:left w:val="single" w:sz="4" w:space="0" w:color="auto"/>
              <w:bottom w:val="single" w:sz="4" w:space="0" w:color="auto"/>
              <w:right w:val="single" w:sz="4" w:space="0" w:color="auto"/>
            </w:tcBorders>
          </w:tcPr>
          <w:p w14:paraId="531B4376" w14:textId="61C4D95B" w:rsidR="00D70B6B" w:rsidRDefault="00D70B6B" w:rsidP="00D70B6B">
            <w:r w:rsidRPr="00F9794C">
              <w:t>Dieselbe Planungserklärung wurde bereits 2024 vom Stadtrat gutgeheissen. Es ist opportun, diese Richtlinie zu diesem Zeitpunkt noch einmal zu bekräftigen.</w:t>
            </w:r>
          </w:p>
        </w:tc>
      </w:tr>
      <w:tr w:rsidR="00D70B6B" w14:paraId="5D897011" w14:textId="77777777" w:rsidTr="00D70B6B">
        <w:tc>
          <w:tcPr>
            <w:tcW w:w="5000" w:type="pct"/>
            <w:gridSpan w:val="4"/>
            <w:tcBorders>
              <w:top w:val="single" w:sz="4" w:space="0" w:color="auto"/>
              <w:left w:val="single" w:sz="4" w:space="0" w:color="auto"/>
              <w:bottom w:val="single" w:sz="4" w:space="0" w:color="auto"/>
              <w:right w:val="single" w:sz="4" w:space="0" w:color="auto"/>
            </w:tcBorders>
          </w:tcPr>
          <w:p w14:paraId="39148398" w14:textId="77777777" w:rsidR="00D70B6B" w:rsidRPr="00D70B6B" w:rsidRDefault="00D70B6B" w:rsidP="00BF2B83">
            <w:pPr>
              <w:pStyle w:val="berschrift3"/>
            </w:pPr>
            <w:r w:rsidRPr="00D70B6B">
              <w:t>NUTZUNGEN</w:t>
            </w:r>
          </w:p>
          <w:p w14:paraId="515FA6A9" w14:textId="77777777" w:rsidR="00D70B6B" w:rsidRPr="00F9794C" w:rsidRDefault="00D70B6B" w:rsidP="00D70B6B"/>
        </w:tc>
      </w:tr>
      <w:tr w:rsidR="00D70B6B" w14:paraId="2F905D1C" w14:textId="77777777" w:rsidTr="00966C21">
        <w:tc>
          <w:tcPr>
            <w:tcW w:w="250" w:type="pct"/>
            <w:tcBorders>
              <w:top w:val="single" w:sz="4" w:space="0" w:color="auto"/>
              <w:left w:val="single" w:sz="4" w:space="0" w:color="auto"/>
              <w:bottom w:val="single" w:sz="4" w:space="0" w:color="auto"/>
              <w:right w:val="single" w:sz="4" w:space="0" w:color="auto"/>
            </w:tcBorders>
          </w:tcPr>
          <w:p w14:paraId="7D282804"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08940FAD" w14:textId="0687F20A" w:rsidR="00D70B6B" w:rsidRPr="00C93453" w:rsidRDefault="00D70B6B" w:rsidP="00D70B6B">
            <w:r>
              <w:t>PVS-Minderheit</w:t>
            </w:r>
          </w:p>
        </w:tc>
        <w:tc>
          <w:tcPr>
            <w:tcW w:w="1941" w:type="pct"/>
            <w:tcBorders>
              <w:top w:val="single" w:sz="4" w:space="0" w:color="auto"/>
              <w:left w:val="single" w:sz="4" w:space="0" w:color="auto"/>
              <w:bottom w:val="single" w:sz="4" w:space="0" w:color="auto"/>
              <w:right w:val="single" w:sz="4" w:space="0" w:color="auto"/>
            </w:tcBorders>
          </w:tcPr>
          <w:p w14:paraId="3C35D184" w14:textId="77777777" w:rsidR="00BF2B83" w:rsidRDefault="00BF2B83" w:rsidP="00BF2B83">
            <w:pPr>
              <w:spacing w:after="120"/>
            </w:pPr>
            <w:r w:rsidRPr="00BF2B83">
              <w:t>Planungserklärung:</w:t>
            </w:r>
          </w:p>
          <w:p w14:paraId="1968D35F" w14:textId="585C363D" w:rsidR="00D70B6B" w:rsidRPr="00E5387F" w:rsidRDefault="00D70B6B" w:rsidP="00D70B6B">
            <w:pPr>
              <w:rPr>
                <w:b/>
                <w:bCs/>
              </w:rPr>
            </w:pPr>
            <w:r w:rsidRPr="00C93453">
              <w:t>Vertraglich zugesicherte militärische Nutzung gewährleisten</w:t>
            </w:r>
            <w:r w:rsidR="00BF2B83">
              <w:t>:</w:t>
            </w:r>
          </w:p>
          <w:p w14:paraId="332A1AD1" w14:textId="65819051" w:rsidR="00D70B6B" w:rsidRPr="0009539D" w:rsidRDefault="00D70B6B" w:rsidP="00D70B6B">
            <w:r>
              <w:t>Der Gemeinderat stellt sicher, dass bei der weiteren Planung zur Neuordnung der Allmenden die bestehenden vertraglichen Verpflichtungen betreffend die militärische Nutzung der Kleinen Allmend vollumfänglich berücksichtigt und die vertraglich zugesicherten Nutzungsmöglichkeiten der Armee gewährleistet werden.</w:t>
            </w:r>
          </w:p>
        </w:tc>
        <w:tc>
          <w:tcPr>
            <w:tcW w:w="1973" w:type="pct"/>
            <w:tcBorders>
              <w:top w:val="single" w:sz="4" w:space="0" w:color="auto"/>
              <w:left w:val="single" w:sz="4" w:space="0" w:color="auto"/>
              <w:bottom w:val="single" w:sz="4" w:space="0" w:color="auto"/>
              <w:right w:val="single" w:sz="4" w:space="0" w:color="auto"/>
            </w:tcBorders>
          </w:tcPr>
          <w:p w14:paraId="71539BE4" w14:textId="368A6518" w:rsidR="00D70B6B" w:rsidRPr="00F9794C" w:rsidRDefault="00D70B6B" w:rsidP="00D70B6B">
            <w:r w:rsidRPr="007D409A">
              <w:t>Der Nachtrag zum Benützungsvertrag zwischen dem Kanton Bern und der Stadt Bern räumt der militärischen Nutzung auf der Kleinen Allmend ausdrücklich Vorrang ein und hat mindestens bis Ende 2038 Gültigkeit. Zudem hat die Armee ihren aktuellen Flächenbedarf gegenüber der Stadt ausdrücklich angemeldet. Die Neuordnung der Allmenden muss diesen bestehenden vertraglichen Verpflichtungen Rechnung tragen und die militärischen Nutzungsmöglichkeiten entsprechend gewährleisten.</w:t>
            </w:r>
          </w:p>
        </w:tc>
      </w:tr>
      <w:tr w:rsidR="00D70B6B" w14:paraId="43694105" w14:textId="77777777" w:rsidTr="00966C21">
        <w:tc>
          <w:tcPr>
            <w:tcW w:w="250" w:type="pct"/>
            <w:tcBorders>
              <w:top w:val="single" w:sz="4" w:space="0" w:color="auto"/>
              <w:left w:val="single" w:sz="4" w:space="0" w:color="auto"/>
              <w:bottom w:val="single" w:sz="4" w:space="0" w:color="auto"/>
              <w:right w:val="single" w:sz="4" w:space="0" w:color="auto"/>
            </w:tcBorders>
          </w:tcPr>
          <w:p w14:paraId="559AC3E5"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2D59FA50" w14:textId="7655123F" w:rsidR="00D70B6B" w:rsidRPr="00C93453" w:rsidRDefault="00D70B6B" w:rsidP="00D70B6B">
            <w:r>
              <w:t>PVS</w:t>
            </w:r>
          </w:p>
        </w:tc>
        <w:tc>
          <w:tcPr>
            <w:tcW w:w="1941" w:type="pct"/>
            <w:tcBorders>
              <w:top w:val="single" w:sz="4" w:space="0" w:color="auto"/>
              <w:left w:val="single" w:sz="4" w:space="0" w:color="auto"/>
              <w:bottom w:val="single" w:sz="4" w:space="0" w:color="auto"/>
              <w:right w:val="single" w:sz="4" w:space="0" w:color="auto"/>
            </w:tcBorders>
          </w:tcPr>
          <w:p w14:paraId="75D148D9" w14:textId="77777777" w:rsidR="00BF2B83" w:rsidRDefault="00BF2B83" w:rsidP="00BF2B83">
            <w:pPr>
              <w:spacing w:after="120"/>
            </w:pPr>
            <w:r>
              <w:t>Planungserklärung:</w:t>
            </w:r>
          </w:p>
          <w:p w14:paraId="6B157E7B" w14:textId="746EC68F" w:rsidR="00D70B6B" w:rsidRPr="006A2B11" w:rsidRDefault="00D70B6B" w:rsidP="00D70B6B">
            <w:pPr>
              <w:rPr>
                <w:b/>
                <w:bCs/>
              </w:rPr>
            </w:pPr>
            <w:r w:rsidRPr="00C93453">
              <w:t>Angemeldete Bedürfnisse der Armee berücksichtigen und transparent ausweisen</w:t>
            </w:r>
            <w:r w:rsidR="00BF2B83">
              <w:t>:</w:t>
            </w:r>
          </w:p>
          <w:p w14:paraId="6FE4ABE5" w14:textId="32A2266D" w:rsidR="00D70B6B" w:rsidRPr="0009539D" w:rsidRDefault="00D70B6B" w:rsidP="00D70B6B">
            <w:r>
              <w:t>Der Gemeinderat berücksichtigt im weiteren Planungsprozess die von der Armee angemeldeten Bedürfnisse bezüglich der Nutzung der Kleinen Allmend und weist diese sowie den Umgang damit in den weiteren Planungs- und Entscheidungsgrundlagen transparent aus.</w:t>
            </w:r>
          </w:p>
        </w:tc>
        <w:tc>
          <w:tcPr>
            <w:tcW w:w="1973" w:type="pct"/>
            <w:tcBorders>
              <w:top w:val="single" w:sz="4" w:space="0" w:color="auto"/>
              <w:left w:val="single" w:sz="4" w:space="0" w:color="auto"/>
              <w:bottom w:val="single" w:sz="4" w:space="0" w:color="auto"/>
              <w:right w:val="single" w:sz="4" w:space="0" w:color="auto"/>
            </w:tcBorders>
          </w:tcPr>
          <w:p w14:paraId="32A3726B" w14:textId="11A8F340" w:rsidR="00D70B6B" w:rsidRPr="00F9794C" w:rsidRDefault="00D70B6B" w:rsidP="00D70B6B">
            <w:r w:rsidRPr="00741F07">
              <w:t>Die Armee hat ihren weiterhin bestehenden Flächenbedarf gegenüber der Stadt schriftlich angemeldet. Dieser Bedarf wird im Vortrag des Gemeinderates jedoch nicht entsprechend ausgewiesen, obwohl die armasuisse in den Planungsprozess einbezogen ist. Angesichts der bestehenden vertraglichen Regelungen muss der militärische Bedarf Bestandteil der Interessenabwägung sein und gegenüber dem Stadtrat transparent dargestellt werden.</w:t>
            </w:r>
          </w:p>
        </w:tc>
      </w:tr>
      <w:tr w:rsidR="00D70B6B" w14:paraId="250EDFC9" w14:textId="77777777" w:rsidTr="00966C21">
        <w:tc>
          <w:tcPr>
            <w:tcW w:w="250" w:type="pct"/>
            <w:tcBorders>
              <w:top w:val="single" w:sz="4" w:space="0" w:color="auto"/>
              <w:left w:val="single" w:sz="4" w:space="0" w:color="auto"/>
              <w:bottom w:val="single" w:sz="4" w:space="0" w:color="auto"/>
              <w:right w:val="single" w:sz="4" w:space="0" w:color="auto"/>
            </w:tcBorders>
          </w:tcPr>
          <w:p w14:paraId="5590DC17"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31584E13" w14:textId="198894F3" w:rsidR="00D70B6B" w:rsidRPr="00C93453" w:rsidRDefault="00D70B6B" w:rsidP="00D70B6B">
            <w:r w:rsidRPr="00C93453">
              <w:t>PVS</w:t>
            </w:r>
          </w:p>
        </w:tc>
        <w:tc>
          <w:tcPr>
            <w:tcW w:w="1941" w:type="pct"/>
            <w:tcBorders>
              <w:top w:val="single" w:sz="4" w:space="0" w:color="auto"/>
              <w:left w:val="single" w:sz="4" w:space="0" w:color="auto"/>
              <w:bottom w:val="single" w:sz="4" w:space="0" w:color="auto"/>
              <w:right w:val="single" w:sz="4" w:space="0" w:color="auto"/>
            </w:tcBorders>
          </w:tcPr>
          <w:p w14:paraId="58C44C7E" w14:textId="77777777" w:rsidR="00BF2B83" w:rsidRDefault="00BF2B83" w:rsidP="00BF2B83">
            <w:pPr>
              <w:spacing w:after="120"/>
            </w:pPr>
            <w:r>
              <w:t>Planungserklärung:</w:t>
            </w:r>
          </w:p>
          <w:p w14:paraId="173F1337" w14:textId="1DC51B12" w:rsidR="00D70B6B" w:rsidRPr="00AE0257" w:rsidRDefault="00D70B6B" w:rsidP="00D70B6B">
            <w:pPr>
              <w:rPr>
                <w:b/>
                <w:bCs/>
              </w:rPr>
            </w:pPr>
            <w:r w:rsidRPr="00C93453">
              <w:t>Alternative Fläche Wölflistrasse für die Armee prüfen</w:t>
            </w:r>
            <w:r w:rsidR="00BF2B83">
              <w:t>:</w:t>
            </w:r>
          </w:p>
          <w:p w14:paraId="23B80213" w14:textId="69D0DCF3" w:rsidR="00D70B6B" w:rsidRPr="0009539D" w:rsidRDefault="00D70B6B" w:rsidP="00D70B6B">
            <w:r>
              <w:t xml:space="preserve">Der Gemeinderat prüft gemeinsam mit den zuständigen Stellen von Bund, Kanton und Armee, ob die militärischen Nutzungsbedürfnisse ganz oder </w:t>
            </w:r>
            <w:r>
              <w:lastRenderedPageBreak/>
              <w:t>teilweise auf einer geeigneten alternativen Fläche sichergestellt werden können. Dabei ist insbesondere der Bereich des Parkplatzes an der Wölflistrasse als möglicher Ersatzstandort zu prüfen.</w:t>
            </w:r>
          </w:p>
        </w:tc>
        <w:tc>
          <w:tcPr>
            <w:tcW w:w="1973" w:type="pct"/>
            <w:tcBorders>
              <w:top w:val="single" w:sz="4" w:space="0" w:color="auto"/>
              <w:left w:val="single" w:sz="4" w:space="0" w:color="auto"/>
              <w:bottom w:val="single" w:sz="4" w:space="0" w:color="auto"/>
              <w:right w:val="single" w:sz="4" w:space="0" w:color="auto"/>
            </w:tcBorders>
          </w:tcPr>
          <w:p w14:paraId="65345E34" w14:textId="0CB94A6B" w:rsidR="00D70B6B" w:rsidRPr="00F9794C" w:rsidRDefault="00D70B6B" w:rsidP="00D70B6B">
            <w:r w:rsidRPr="000B2E17">
              <w:lastRenderedPageBreak/>
              <w:t xml:space="preserve">Seitens des Waffenplatzes besteht die Bereitschaft, anstelle der bisherigen Nutzung auf der Kleinen Allmend auch eine alternative Fläche zu prüfen. Mit dem Parkplatz an der Wölflistrasse wurde eine konkrete mögliche Alternative genannt. Diese Möglichkeit ist vertieft zu prüfen, bevor bestehende </w:t>
            </w:r>
            <w:r w:rsidRPr="000B2E17">
              <w:lastRenderedPageBreak/>
              <w:t>militärische Nutzungsmöglichkeiten eingeschränkt oder durch die Neuordnung faktisch verunmöglicht werden.</w:t>
            </w:r>
          </w:p>
        </w:tc>
      </w:tr>
      <w:tr w:rsidR="00D70B6B" w14:paraId="5042CB93" w14:textId="77777777" w:rsidTr="00966C21">
        <w:tc>
          <w:tcPr>
            <w:tcW w:w="250" w:type="pct"/>
            <w:tcBorders>
              <w:top w:val="single" w:sz="4" w:space="0" w:color="auto"/>
              <w:left w:val="single" w:sz="4" w:space="0" w:color="auto"/>
              <w:bottom w:val="single" w:sz="4" w:space="0" w:color="auto"/>
              <w:right w:val="single" w:sz="4" w:space="0" w:color="auto"/>
            </w:tcBorders>
          </w:tcPr>
          <w:p w14:paraId="474868D6" w14:textId="77777777" w:rsidR="00D70B6B" w:rsidRDefault="00D70B6B" w:rsidP="00D70B6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3FEAAFE9" w14:textId="3B68B32D" w:rsidR="00D70B6B" w:rsidRPr="00C93453" w:rsidRDefault="00D70B6B" w:rsidP="00D70B6B">
            <w:r>
              <w:t>PVS</w:t>
            </w:r>
          </w:p>
        </w:tc>
        <w:tc>
          <w:tcPr>
            <w:tcW w:w="1941" w:type="pct"/>
            <w:tcBorders>
              <w:top w:val="single" w:sz="4" w:space="0" w:color="auto"/>
              <w:left w:val="single" w:sz="4" w:space="0" w:color="auto"/>
              <w:bottom w:val="single" w:sz="4" w:space="0" w:color="auto"/>
              <w:right w:val="single" w:sz="4" w:space="0" w:color="auto"/>
            </w:tcBorders>
          </w:tcPr>
          <w:p w14:paraId="2DAC4D71" w14:textId="77777777" w:rsidR="00BF2B83" w:rsidRDefault="00BF2B83" w:rsidP="00BF2B83">
            <w:pPr>
              <w:spacing w:after="120"/>
            </w:pPr>
            <w:r>
              <w:t>Planungserklärung:</w:t>
            </w:r>
          </w:p>
          <w:p w14:paraId="296B5324" w14:textId="3AAEAA0D" w:rsidR="00D70B6B" w:rsidRPr="0009539D" w:rsidRDefault="00D70B6B" w:rsidP="00D70B6B">
            <w:r w:rsidRPr="002B7289">
              <w:t xml:space="preserve">In der weiteren Planung ist sicherzustellen, dass die Allmenden </w:t>
            </w:r>
            <w:r>
              <w:t>ausserhalb der Veranstaltungsflächen weitestgehend</w:t>
            </w:r>
            <w:r w:rsidRPr="002B7289">
              <w:t xml:space="preserve"> kommerzfrei bleiben.</w:t>
            </w:r>
          </w:p>
        </w:tc>
        <w:tc>
          <w:tcPr>
            <w:tcW w:w="1973" w:type="pct"/>
            <w:tcBorders>
              <w:top w:val="single" w:sz="4" w:space="0" w:color="auto"/>
              <w:left w:val="single" w:sz="4" w:space="0" w:color="auto"/>
              <w:bottom w:val="single" w:sz="4" w:space="0" w:color="auto"/>
              <w:right w:val="single" w:sz="4" w:space="0" w:color="auto"/>
            </w:tcBorders>
          </w:tcPr>
          <w:p w14:paraId="15614939" w14:textId="59BE935B" w:rsidR="00D70B6B" w:rsidRPr="00F9794C" w:rsidRDefault="00D70B6B" w:rsidP="00D70B6B">
            <w:r w:rsidRPr="001E77B7">
              <w:t>Öffentliche Räume, in denen sich Jung und Alt, Gross und Klein ohne Konsumzwang aufhalten können, sind wichtig für lebendige und vielfältige Aufenthaltsflächen. Die Allmenden sollen als öffentliche Freiräume für die Bevölkerung offen und frei zugänglich bleiben.</w:t>
            </w:r>
          </w:p>
        </w:tc>
      </w:tr>
    </w:tbl>
    <w:p w14:paraId="3898A3DD" w14:textId="77777777" w:rsidR="00795CAB" w:rsidRDefault="00795CAB" w:rsidP="000048B8"/>
    <w:sectPr w:rsidR="00795CAB" w:rsidSect="009017A7">
      <w:headerReference w:type="default" r:id="rId8"/>
      <w:footerReference w:type="default" r:id="rId9"/>
      <w:headerReference w:type="first" r:id="rId10"/>
      <w:footerReference w:type="first" r:id="rId11"/>
      <w:pgSz w:w="16838" w:h="11906" w:orient="landscape" w:code="9"/>
      <w:pgMar w:top="1134" w:right="1134" w:bottom="1134" w:left="2183" w:header="2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D7F64" w14:textId="77777777" w:rsidR="00235F87" w:rsidRDefault="00235F87">
      <w:pPr>
        <w:spacing w:line="240" w:lineRule="auto"/>
      </w:pPr>
      <w:r>
        <w:separator/>
      </w:r>
    </w:p>
  </w:endnote>
  <w:endnote w:type="continuationSeparator" w:id="0">
    <w:p w14:paraId="2CD7B004" w14:textId="77777777" w:rsidR="00235F87" w:rsidRDefault="00235F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864C" w14:textId="77777777" w:rsidR="003F37FF" w:rsidRPr="009017A7" w:rsidRDefault="005407C6" w:rsidP="009017A7">
    <w:pPr>
      <w:pStyle w:val="Fuzeile"/>
    </w:pPr>
    <w:r>
      <w:tab/>
    </w:r>
    <w:r>
      <w:fldChar w:fldCharType="begin"/>
    </w:r>
    <w:r>
      <w:instrText>PAGE   \* MERGEFORMAT</w:instrText>
    </w:r>
    <w:r>
      <w:fldChar w:fldCharType="separate"/>
    </w:r>
    <w:r w:rsidR="003A31B2" w:rsidRPr="003A31B2">
      <w:rPr>
        <w:noProof/>
        <w:lang w:val="de-DE"/>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948C" w14:textId="77777777" w:rsidR="00CF7F58" w:rsidRDefault="00CF7F58" w:rsidP="00BA7686">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DC9BB" w14:textId="77777777" w:rsidR="00235F87" w:rsidRDefault="00235F87">
      <w:pPr>
        <w:spacing w:line="240" w:lineRule="auto"/>
      </w:pPr>
      <w:r>
        <w:separator/>
      </w:r>
    </w:p>
  </w:footnote>
  <w:footnote w:type="continuationSeparator" w:id="0">
    <w:p w14:paraId="69DE5489" w14:textId="77777777" w:rsidR="00235F87" w:rsidRDefault="00235F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FDA5" w14:textId="77777777" w:rsidR="003F37FF" w:rsidRDefault="003F37FF" w:rsidP="009017A7">
    <w:pPr>
      <w:pStyle w:val="Kopfzeile"/>
    </w:pPr>
  </w:p>
  <w:p w14:paraId="7B7980C0" w14:textId="77777777" w:rsidR="003F37FF" w:rsidRPr="009017A7" w:rsidRDefault="003F37FF" w:rsidP="009017A7">
    <w:pPr>
      <w:pStyle w:val="Kopfzeile"/>
    </w:pPr>
  </w:p>
  <w:p w14:paraId="7F4D2F78" w14:textId="77777777" w:rsidR="009C0D41" w:rsidRDefault="009C0D41" w:rsidP="005539FA">
    <w:pPr>
      <w:pStyle w:val="Kopfzeile"/>
    </w:pPr>
  </w:p>
  <w:p w14:paraId="4F231A2F" w14:textId="77777777" w:rsidR="003A31B2" w:rsidRDefault="003A31B2" w:rsidP="005539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15:repeatingSectionItem/>
        </w:sdtPr>
        <w:sdtEndPr/>
        <w:sdtContent>
          <w:p w14:paraId="2933A789" w14:textId="77777777" w:rsidR="005850A6" w:rsidRDefault="005407C6" w:rsidP="005850A6">
            <w:pPr>
              <w:pStyle w:val="Kopfzeile"/>
              <w:ind w:left="-2156"/>
            </w:pPr>
            <w:r>
              <w:rPr>
                <w:noProof/>
                <w:snapToGrid/>
                <w:lang w:eastAsia="de-CH"/>
              </w:rPr>
              <w:drawing>
                <wp:anchor distT="0" distB="0" distL="114300" distR="114300" simplePos="0" relativeHeight="251658240" behindDoc="0" locked="1" layoutInCell="1" allowOverlap="1" wp14:anchorId="2DAADC38" wp14:editId="0ECF0FD0">
                  <wp:simplePos x="0" y="0"/>
                  <wp:positionH relativeFrom="page">
                    <wp:posOffset>0</wp:posOffset>
                  </wp:positionH>
                  <wp:positionV relativeFrom="paragraph">
                    <wp:align>top</wp:align>
                  </wp:positionV>
                  <wp:extent cx="10634345" cy="182499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rat_A4_qu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34658" cy="182499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12EB"/>
    <w:multiLevelType w:val="multilevel"/>
    <w:tmpl w:val="3240085A"/>
    <w:numStyleLink w:val="AUFZRot"/>
  </w:abstractNum>
  <w:abstractNum w:abstractNumId="1" w15:restartNumberingAfterBreak="0">
    <w:nsid w:val="117859A8"/>
    <w:multiLevelType w:val="hybridMultilevel"/>
    <w:tmpl w:val="9AD6717A"/>
    <w:lvl w:ilvl="0" w:tplc="D86AF704">
      <w:start w:val="1"/>
      <w:numFmt w:val="decimal"/>
      <w:lvlText w:val="%1."/>
      <w:lvlJc w:val="left"/>
      <w:pPr>
        <w:ind w:left="360" w:hanging="360"/>
      </w:pPr>
      <w:rPr>
        <w:rFonts w:hint="default"/>
      </w:rPr>
    </w:lvl>
    <w:lvl w:ilvl="1" w:tplc="E730AD44" w:tentative="1">
      <w:start w:val="1"/>
      <w:numFmt w:val="lowerLetter"/>
      <w:lvlText w:val="%2."/>
      <w:lvlJc w:val="left"/>
      <w:pPr>
        <w:ind w:left="1080" w:hanging="360"/>
      </w:pPr>
    </w:lvl>
    <w:lvl w:ilvl="2" w:tplc="885A6752" w:tentative="1">
      <w:start w:val="1"/>
      <w:numFmt w:val="lowerRoman"/>
      <w:lvlText w:val="%3."/>
      <w:lvlJc w:val="right"/>
      <w:pPr>
        <w:ind w:left="1800" w:hanging="180"/>
      </w:pPr>
    </w:lvl>
    <w:lvl w:ilvl="3" w:tplc="282EB4D6" w:tentative="1">
      <w:start w:val="1"/>
      <w:numFmt w:val="decimal"/>
      <w:lvlText w:val="%4."/>
      <w:lvlJc w:val="left"/>
      <w:pPr>
        <w:ind w:left="2520" w:hanging="360"/>
      </w:pPr>
    </w:lvl>
    <w:lvl w:ilvl="4" w:tplc="FA66DF08" w:tentative="1">
      <w:start w:val="1"/>
      <w:numFmt w:val="lowerLetter"/>
      <w:lvlText w:val="%5."/>
      <w:lvlJc w:val="left"/>
      <w:pPr>
        <w:ind w:left="3240" w:hanging="360"/>
      </w:pPr>
    </w:lvl>
    <w:lvl w:ilvl="5" w:tplc="E2045D4C" w:tentative="1">
      <w:start w:val="1"/>
      <w:numFmt w:val="lowerRoman"/>
      <w:lvlText w:val="%6."/>
      <w:lvlJc w:val="right"/>
      <w:pPr>
        <w:ind w:left="3960" w:hanging="180"/>
      </w:pPr>
    </w:lvl>
    <w:lvl w:ilvl="6" w:tplc="CA48E1CC" w:tentative="1">
      <w:start w:val="1"/>
      <w:numFmt w:val="decimal"/>
      <w:lvlText w:val="%7."/>
      <w:lvlJc w:val="left"/>
      <w:pPr>
        <w:ind w:left="4680" w:hanging="360"/>
      </w:pPr>
    </w:lvl>
    <w:lvl w:ilvl="7" w:tplc="0974217A" w:tentative="1">
      <w:start w:val="1"/>
      <w:numFmt w:val="lowerLetter"/>
      <w:lvlText w:val="%8."/>
      <w:lvlJc w:val="left"/>
      <w:pPr>
        <w:ind w:left="5400" w:hanging="360"/>
      </w:pPr>
    </w:lvl>
    <w:lvl w:ilvl="8" w:tplc="9A867BB0" w:tentative="1">
      <w:start w:val="1"/>
      <w:numFmt w:val="lowerRoman"/>
      <w:lvlText w:val="%9."/>
      <w:lvlJc w:val="right"/>
      <w:pPr>
        <w:ind w:left="6120" w:hanging="180"/>
      </w:pPr>
    </w:lvl>
  </w:abstractNum>
  <w:abstractNum w:abstractNumId="2" w15:restartNumberingAfterBreak="0">
    <w:nsid w:val="1C2D1D5C"/>
    <w:multiLevelType w:val="multilevel"/>
    <w:tmpl w:val="006EE2DC"/>
    <w:styleLink w:val="AUFZSCHWARZ"/>
    <w:lvl w:ilvl="0">
      <w:start w:val="1"/>
      <w:numFmt w:val="bullet"/>
      <w:pStyle w:val="Aufzhlungszeichen"/>
      <w:lvlText w:val=""/>
      <w:lvlJc w:val="left"/>
      <w:pPr>
        <w:tabs>
          <w:tab w:val="num" w:pos="284"/>
        </w:tabs>
        <w:ind w:left="284" w:hanging="284"/>
      </w:pPr>
      <w:rPr>
        <w:rFonts w:ascii="Symbol" w:hAnsi="Symbol" w:hint="default"/>
        <w:color w:val="auto"/>
        <w:sz w:val="16"/>
      </w:rPr>
    </w:lvl>
    <w:lvl w:ilvl="1">
      <w:start w:val="1"/>
      <w:numFmt w:val="bullet"/>
      <w:lvlText w:val=""/>
      <w:lvlJc w:val="left"/>
      <w:pPr>
        <w:tabs>
          <w:tab w:val="num" w:pos="567"/>
        </w:tabs>
        <w:ind w:left="567" w:hanging="283"/>
      </w:pPr>
      <w:rPr>
        <w:rFonts w:ascii="Symbol" w:hAnsi="Symbol" w:hint="default"/>
        <w:color w:val="auto"/>
        <w:sz w:val="16"/>
      </w:rPr>
    </w:lvl>
    <w:lvl w:ilvl="2">
      <w:start w:val="1"/>
      <w:numFmt w:val="bullet"/>
      <w:lvlText w:val=""/>
      <w:lvlJc w:val="left"/>
      <w:pPr>
        <w:tabs>
          <w:tab w:val="num" w:pos="851"/>
        </w:tabs>
        <w:ind w:left="851" w:hanging="284"/>
      </w:pPr>
      <w:rPr>
        <w:rFonts w:ascii="Symbol" w:hAnsi="Symbol" w:hint="default"/>
        <w:color w:val="auto"/>
        <w:sz w:val="16"/>
      </w:rPr>
    </w:lvl>
    <w:lvl w:ilvl="3">
      <w:start w:val="1"/>
      <w:numFmt w:val="bullet"/>
      <w:lvlText w:val=""/>
      <w:lvlJc w:val="left"/>
      <w:pPr>
        <w:tabs>
          <w:tab w:val="num" w:pos="1134"/>
        </w:tabs>
        <w:ind w:left="1134" w:hanging="283"/>
      </w:pPr>
      <w:rPr>
        <w:rFonts w:ascii="Symbol" w:hAnsi="Symbol" w:hint="default"/>
        <w:color w:val="auto"/>
        <w:sz w:val="16"/>
      </w:rPr>
    </w:lvl>
    <w:lvl w:ilvl="4">
      <w:start w:val="1"/>
      <w:numFmt w:val="bullet"/>
      <w:lvlText w:val=""/>
      <w:lvlJc w:val="left"/>
      <w:pPr>
        <w:tabs>
          <w:tab w:val="num" w:pos="1418"/>
        </w:tabs>
        <w:ind w:left="1418" w:hanging="284"/>
      </w:pPr>
      <w:rPr>
        <w:rFonts w:ascii="Symbol" w:hAnsi="Symbol" w:hint="default"/>
        <w:color w:val="auto"/>
        <w:sz w:val="16"/>
      </w:rPr>
    </w:lvl>
    <w:lvl w:ilvl="5">
      <w:start w:val="1"/>
      <w:numFmt w:val="bullet"/>
      <w:lvlText w:val=""/>
      <w:lvlJc w:val="left"/>
      <w:pPr>
        <w:tabs>
          <w:tab w:val="num" w:pos="1701"/>
        </w:tabs>
        <w:ind w:left="1701" w:hanging="283"/>
      </w:pPr>
      <w:rPr>
        <w:rFonts w:ascii="Symbol" w:hAnsi="Symbol" w:hint="default"/>
        <w:color w:val="auto"/>
        <w:sz w:val="16"/>
      </w:rPr>
    </w:lvl>
    <w:lvl w:ilvl="6">
      <w:start w:val="1"/>
      <w:numFmt w:val="none"/>
      <w:suff w:val="nothing"/>
      <w:lvlText w:val="%7"/>
      <w:lvlJc w:val="left"/>
      <w:pPr>
        <w:ind w:left="1985" w:hanging="284"/>
      </w:pPr>
      <w:rPr>
        <w:rFonts w:hint="default"/>
        <w:color w:val="auto"/>
        <w:sz w:val="16"/>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3" w15:restartNumberingAfterBreak="0">
    <w:nsid w:val="2287431C"/>
    <w:multiLevelType w:val="hybridMultilevel"/>
    <w:tmpl w:val="9AD6717A"/>
    <w:lvl w:ilvl="0" w:tplc="E738E424">
      <w:start w:val="1"/>
      <w:numFmt w:val="decimal"/>
      <w:lvlText w:val="%1."/>
      <w:lvlJc w:val="left"/>
      <w:pPr>
        <w:ind w:left="360" w:hanging="360"/>
      </w:pPr>
      <w:rPr>
        <w:rFonts w:hint="default"/>
      </w:rPr>
    </w:lvl>
    <w:lvl w:ilvl="1" w:tplc="BD842878" w:tentative="1">
      <w:start w:val="1"/>
      <w:numFmt w:val="lowerLetter"/>
      <w:lvlText w:val="%2."/>
      <w:lvlJc w:val="left"/>
      <w:pPr>
        <w:ind w:left="1080" w:hanging="360"/>
      </w:pPr>
    </w:lvl>
    <w:lvl w:ilvl="2" w:tplc="EB50FC5A" w:tentative="1">
      <w:start w:val="1"/>
      <w:numFmt w:val="lowerRoman"/>
      <w:lvlText w:val="%3."/>
      <w:lvlJc w:val="right"/>
      <w:pPr>
        <w:ind w:left="1800" w:hanging="180"/>
      </w:pPr>
    </w:lvl>
    <w:lvl w:ilvl="3" w:tplc="8F90FC28" w:tentative="1">
      <w:start w:val="1"/>
      <w:numFmt w:val="decimal"/>
      <w:lvlText w:val="%4."/>
      <w:lvlJc w:val="left"/>
      <w:pPr>
        <w:ind w:left="2520" w:hanging="360"/>
      </w:pPr>
    </w:lvl>
    <w:lvl w:ilvl="4" w:tplc="15F265D6" w:tentative="1">
      <w:start w:val="1"/>
      <w:numFmt w:val="lowerLetter"/>
      <w:lvlText w:val="%5."/>
      <w:lvlJc w:val="left"/>
      <w:pPr>
        <w:ind w:left="3240" w:hanging="360"/>
      </w:pPr>
    </w:lvl>
    <w:lvl w:ilvl="5" w:tplc="1A4898E2" w:tentative="1">
      <w:start w:val="1"/>
      <w:numFmt w:val="lowerRoman"/>
      <w:lvlText w:val="%6."/>
      <w:lvlJc w:val="right"/>
      <w:pPr>
        <w:ind w:left="3960" w:hanging="180"/>
      </w:pPr>
    </w:lvl>
    <w:lvl w:ilvl="6" w:tplc="7AEC0B82" w:tentative="1">
      <w:start w:val="1"/>
      <w:numFmt w:val="decimal"/>
      <w:lvlText w:val="%7."/>
      <w:lvlJc w:val="left"/>
      <w:pPr>
        <w:ind w:left="4680" w:hanging="360"/>
      </w:pPr>
    </w:lvl>
    <w:lvl w:ilvl="7" w:tplc="BEC65E0C" w:tentative="1">
      <w:start w:val="1"/>
      <w:numFmt w:val="lowerLetter"/>
      <w:lvlText w:val="%8."/>
      <w:lvlJc w:val="left"/>
      <w:pPr>
        <w:ind w:left="5400" w:hanging="360"/>
      </w:pPr>
    </w:lvl>
    <w:lvl w:ilvl="8" w:tplc="85DE3556" w:tentative="1">
      <w:start w:val="1"/>
      <w:numFmt w:val="lowerRoman"/>
      <w:lvlText w:val="%9."/>
      <w:lvlJc w:val="right"/>
      <w:pPr>
        <w:ind w:left="6120" w:hanging="180"/>
      </w:pPr>
    </w:lvl>
  </w:abstractNum>
  <w:abstractNum w:abstractNumId="4" w15:restartNumberingAfterBreak="0">
    <w:nsid w:val="29FF52AD"/>
    <w:multiLevelType w:val="hybridMultilevel"/>
    <w:tmpl w:val="9AD6717A"/>
    <w:lvl w:ilvl="0" w:tplc="6B482A02">
      <w:start w:val="1"/>
      <w:numFmt w:val="decimal"/>
      <w:lvlText w:val="%1."/>
      <w:lvlJc w:val="left"/>
      <w:pPr>
        <w:ind w:left="360" w:hanging="360"/>
      </w:pPr>
      <w:rPr>
        <w:rFonts w:hint="default"/>
      </w:rPr>
    </w:lvl>
    <w:lvl w:ilvl="1" w:tplc="E15AC7DC" w:tentative="1">
      <w:start w:val="1"/>
      <w:numFmt w:val="lowerLetter"/>
      <w:lvlText w:val="%2."/>
      <w:lvlJc w:val="left"/>
      <w:pPr>
        <w:ind w:left="1080" w:hanging="360"/>
      </w:pPr>
    </w:lvl>
    <w:lvl w:ilvl="2" w:tplc="D114929A" w:tentative="1">
      <w:start w:val="1"/>
      <w:numFmt w:val="lowerRoman"/>
      <w:lvlText w:val="%3."/>
      <w:lvlJc w:val="right"/>
      <w:pPr>
        <w:ind w:left="1800" w:hanging="180"/>
      </w:pPr>
    </w:lvl>
    <w:lvl w:ilvl="3" w:tplc="ABDE025A" w:tentative="1">
      <w:start w:val="1"/>
      <w:numFmt w:val="decimal"/>
      <w:lvlText w:val="%4."/>
      <w:lvlJc w:val="left"/>
      <w:pPr>
        <w:ind w:left="2520" w:hanging="360"/>
      </w:pPr>
    </w:lvl>
    <w:lvl w:ilvl="4" w:tplc="ADBA35B4" w:tentative="1">
      <w:start w:val="1"/>
      <w:numFmt w:val="lowerLetter"/>
      <w:lvlText w:val="%5."/>
      <w:lvlJc w:val="left"/>
      <w:pPr>
        <w:ind w:left="3240" w:hanging="360"/>
      </w:pPr>
    </w:lvl>
    <w:lvl w:ilvl="5" w:tplc="983816B0" w:tentative="1">
      <w:start w:val="1"/>
      <w:numFmt w:val="lowerRoman"/>
      <w:lvlText w:val="%6."/>
      <w:lvlJc w:val="right"/>
      <w:pPr>
        <w:ind w:left="3960" w:hanging="180"/>
      </w:pPr>
    </w:lvl>
    <w:lvl w:ilvl="6" w:tplc="A87AFFEE" w:tentative="1">
      <w:start w:val="1"/>
      <w:numFmt w:val="decimal"/>
      <w:lvlText w:val="%7."/>
      <w:lvlJc w:val="left"/>
      <w:pPr>
        <w:ind w:left="4680" w:hanging="360"/>
      </w:pPr>
    </w:lvl>
    <w:lvl w:ilvl="7" w:tplc="E75687C4" w:tentative="1">
      <w:start w:val="1"/>
      <w:numFmt w:val="lowerLetter"/>
      <w:lvlText w:val="%8."/>
      <w:lvlJc w:val="left"/>
      <w:pPr>
        <w:ind w:left="5400" w:hanging="360"/>
      </w:pPr>
    </w:lvl>
    <w:lvl w:ilvl="8" w:tplc="078243DE" w:tentative="1">
      <w:start w:val="1"/>
      <w:numFmt w:val="lowerRoman"/>
      <w:lvlText w:val="%9."/>
      <w:lvlJc w:val="right"/>
      <w:pPr>
        <w:ind w:left="6120" w:hanging="180"/>
      </w:pPr>
    </w:lvl>
  </w:abstractNum>
  <w:abstractNum w:abstractNumId="5" w15:restartNumberingAfterBreak="0">
    <w:nsid w:val="2CCA6C0D"/>
    <w:multiLevelType w:val="hybridMultilevel"/>
    <w:tmpl w:val="9AD6717A"/>
    <w:lvl w:ilvl="0" w:tplc="81F283E8">
      <w:start w:val="1"/>
      <w:numFmt w:val="decimal"/>
      <w:lvlText w:val="%1."/>
      <w:lvlJc w:val="left"/>
      <w:pPr>
        <w:ind w:left="360" w:hanging="360"/>
      </w:pPr>
      <w:rPr>
        <w:rFonts w:hint="default"/>
      </w:rPr>
    </w:lvl>
    <w:lvl w:ilvl="1" w:tplc="C75CBA1A" w:tentative="1">
      <w:start w:val="1"/>
      <w:numFmt w:val="lowerLetter"/>
      <w:lvlText w:val="%2."/>
      <w:lvlJc w:val="left"/>
      <w:pPr>
        <w:ind w:left="1080" w:hanging="360"/>
      </w:pPr>
    </w:lvl>
    <w:lvl w:ilvl="2" w:tplc="F6829050" w:tentative="1">
      <w:start w:val="1"/>
      <w:numFmt w:val="lowerRoman"/>
      <w:lvlText w:val="%3."/>
      <w:lvlJc w:val="right"/>
      <w:pPr>
        <w:ind w:left="1800" w:hanging="180"/>
      </w:pPr>
    </w:lvl>
    <w:lvl w:ilvl="3" w:tplc="DAB041C6" w:tentative="1">
      <w:start w:val="1"/>
      <w:numFmt w:val="decimal"/>
      <w:lvlText w:val="%4."/>
      <w:lvlJc w:val="left"/>
      <w:pPr>
        <w:ind w:left="2520" w:hanging="360"/>
      </w:pPr>
    </w:lvl>
    <w:lvl w:ilvl="4" w:tplc="A922F34C" w:tentative="1">
      <w:start w:val="1"/>
      <w:numFmt w:val="lowerLetter"/>
      <w:lvlText w:val="%5."/>
      <w:lvlJc w:val="left"/>
      <w:pPr>
        <w:ind w:left="3240" w:hanging="360"/>
      </w:pPr>
    </w:lvl>
    <w:lvl w:ilvl="5" w:tplc="43823C9E" w:tentative="1">
      <w:start w:val="1"/>
      <w:numFmt w:val="lowerRoman"/>
      <w:lvlText w:val="%6."/>
      <w:lvlJc w:val="right"/>
      <w:pPr>
        <w:ind w:left="3960" w:hanging="180"/>
      </w:pPr>
    </w:lvl>
    <w:lvl w:ilvl="6" w:tplc="E90AA60C" w:tentative="1">
      <w:start w:val="1"/>
      <w:numFmt w:val="decimal"/>
      <w:lvlText w:val="%7."/>
      <w:lvlJc w:val="left"/>
      <w:pPr>
        <w:ind w:left="4680" w:hanging="360"/>
      </w:pPr>
    </w:lvl>
    <w:lvl w:ilvl="7" w:tplc="B71C4008" w:tentative="1">
      <w:start w:val="1"/>
      <w:numFmt w:val="lowerLetter"/>
      <w:lvlText w:val="%8."/>
      <w:lvlJc w:val="left"/>
      <w:pPr>
        <w:ind w:left="5400" w:hanging="360"/>
      </w:pPr>
    </w:lvl>
    <w:lvl w:ilvl="8" w:tplc="DCB0E848" w:tentative="1">
      <w:start w:val="1"/>
      <w:numFmt w:val="lowerRoman"/>
      <w:lvlText w:val="%9."/>
      <w:lvlJc w:val="right"/>
      <w:pPr>
        <w:ind w:left="6120" w:hanging="180"/>
      </w:pPr>
    </w:lvl>
  </w:abstractNum>
  <w:abstractNum w:abstractNumId="6" w15:restartNumberingAfterBreak="0">
    <w:nsid w:val="3A6F610C"/>
    <w:multiLevelType w:val="multilevel"/>
    <w:tmpl w:val="3E92B728"/>
    <w:numStyleLink w:val="AUFZGRAU"/>
  </w:abstractNum>
  <w:abstractNum w:abstractNumId="7" w15:restartNumberingAfterBreak="0">
    <w:nsid w:val="3AFA3DAD"/>
    <w:multiLevelType w:val="hybridMultilevel"/>
    <w:tmpl w:val="9AD6717A"/>
    <w:lvl w:ilvl="0" w:tplc="1B222656">
      <w:start w:val="1"/>
      <w:numFmt w:val="decimal"/>
      <w:lvlText w:val="%1."/>
      <w:lvlJc w:val="left"/>
      <w:pPr>
        <w:ind w:left="360" w:hanging="360"/>
      </w:pPr>
      <w:rPr>
        <w:rFonts w:hint="default"/>
      </w:rPr>
    </w:lvl>
    <w:lvl w:ilvl="1" w:tplc="37F05F62" w:tentative="1">
      <w:start w:val="1"/>
      <w:numFmt w:val="lowerLetter"/>
      <w:lvlText w:val="%2."/>
      <w:lvlJc w:val="left"/>
      <w:pPr>
        <w:ind w:left="1080" w:hanging="360"/>
      </w:pPr>
    </w:lvl>
    <w:lvl w:ilvl="2" w:tplc="8F80AF84" w:tentative="1">
      <w:start w:val="1"/>
      <w:numFmt w:val="lowerRoman"/>
      <w:lvlText w:val="%3."/>
      <w:lvlJc w:val="right"/>
      <w:pPr>
        <w:ind w:left="1800" w:hanging="180"/>
      </w:pPr>
    </w:lvl>
    <w:lvl w:ilvl="3" w:tplc="0B38A238" w:tentative="1">
      <w:start w:val="1"/>
      <w:numFmt w:val="decimal"/>
      <w:lvlText w:val="%4."/>
      <w:lvlJc w:val="left"/>
      <w:pPr>
        <w:ind w:left="2520" w:hanging="360"/>
      </w:pPr>
    </w:lvl>
    <w:lvl w:ilvl="4" w:tplc="C3343202" w:tentative="1">
      <w:start w:val="1"/>
      <w:numFmt w:val="lowerLetter"/>
      <w:lvlText w:val="%5."/>
      <w:lvlJc w:val="left"/>
      <w:pPr>
        <w:ind w:left="3240" w:hanging="360"/>
      </w:pPr>
    </w:lvl>
    <w:lvl w:ilvl="5" w:tplc="D940F478" w:tentative="1">
      <w:start w:val="1"/>
      <w:numFmt w:val="lowerRoman"/>
      <w:lvlText w:val="%6."/>
      <w:lvlJc w:val="right"/>
      <w:pPr>
        <w:ind w:left="3960" w:hanging="180"/>
      </w:pPr>
    </w:lvl>
    <w:lvl w:ilvl="6" w:tplc="36106A88" w:tentative="1">
      <w:start w:val="1"/>
      <w:numFmt w:val="decimal"/>
      <w:lvlText w:val="%7."/>
      <w:lvlJc w:val="left"/>
      <w:pPr>
        <w:ind w:left="4680" w:hanging="360"/>
      </w:pPr>
    </w:lvl>
    <w:lvl w:ilvl="7" w:tplc="8264B04A" w:tentative="1">
      <w:start w:val="1"/>
      <w:numFmt w:val="lowerLetter"/>
      <w:lvlText w:val="%8."/>
      <w:lvlJc w:val="left"/>
      <w:pPr>
        <w:ind w:left="5400" w:hanging="360"/>
      </w:pPr>
    </w:lvl>
    <w:lvl w:ilvl="8" w:tplc="748A37A0" w:tentative="1">
      <w:start w:val="1"/>
      <w:numFmt w:val="lowerRoman"/>
      <w:lvlText w:val="%9."/>
      <w:lvlJc w:val="right"/>
      <w:pPr>
        <w:ind w:left="6120" w:hanging="180"/>
      </w:pPr>
    </w:lvl>
  </w:abstractNum>
  <w:abstractNum w:abstractNumId="8" w15:restartNumberingAfterBreak="0">
    <w:nsid w:val="3F527747"/>
    <w:multiLevelType w:val="multilevel"/>
    <w:tmpl w:val="3240085A"/>
    <w:styleLink w:val="AUFZRot"/>
    <w:lvl w:ilvl="0">
      <w:start w:val="1"/>
      <w:numFmt w:val="bullet"/>
      <w:pStyle w:val="Aufzhlungszeichen3"/>
      <w:lvlText w:val=""/>
      <w:lvlJc w:val="left"/>
      <w:pPr>
        <w:tabs>
          <w:tab w:val="num" w:pos="284"/>
        </w:tabs>
        <w:ind w:left="284" w:hanging="284"/>
      </w:pPr>
      <w:rPr>
        <w:rFonts w:ascii="Symbol" w:hAnsi="Symbol" w:hint="default"/>
        <w:color w:val="E1003A"/>
        <w:sz w:val="16"/>
      </w:rPr>
    </w:lvl>
    <w:lvl w:ilvl="1">
      <w:start w:val="1"/>
      <w:numFmt w:val="bullet"/>
      <w:lvlText w:val=""/>
      <w:lvlJc w:val="left"/>
      <w:pPr>
        <w:tabs>
          <w:tab w:val="num" w:pos="567"/>
        </w:tabs>
        <w:ind w:left="567" w:hanging="283"/>
      </w:pPr>
      <w:rPr>
        <w:rFonts w:ascii="Symbol" w:hAnsi="Symbol" w:hint="default"/>
        <w:color w:val="E1003A"/>
        <w:sz w:val="16"/>
      </w:rPr>
    </w:lvl>
    <w:lvl w:ilvl="2">
      <w:start w:val="1"/>
      <w:numFmt w:val="bullet"/>
      <w:lvlText w:val=""/>
      <w:lvlJc w:val="left"/>
      <w:pPr>
        <w:tabs>
          <w:tab w:val="num" w:pos="851"/>
        </w:tabs>
        <w:ind w:left="851" w:hanging="284"/>
      </w:pPr>
      <w:rPr>
        <w:rFonts w:ascii="Symbol" w:hAnsi="Symbol" w:hint="default"/>
        <w:color w:val="E1003A"/>
        <w:sz w:val="16"/>
      </w:rPr>
    </w:lvl>
    <w:lvl w:ilvl="3">
      <w:start w:val="1"/>
      <w:numFmt w:val="bullet"/>
      <w:lvlText w:val=""/>
      <w:lvlJc w:val="left"/>
      <w:pPr>
        <w:tabs>
          <w:tab w:val="num" w:pos="1134"/>
        </w:tabs>
        <w:ind w:left="1134" w:hanging="283"/>
      </w:pPr>
      <w:rPr>
        <w:rFonts w:ascii="Symbol" w:hAnsi="Symbol" w:hint="default"/>
        <w:color w:val="E1003A"/>
        <w:sz w:val="16"/>
      </w:rPr>
    </w:lvl>
    <w:lvl w:ilvl="4">
      <w:start w:val="1"/>
      <w:numFmt w:val="bullet"/>
      <w:lvlText w:val=""/>
      <w:lvlJc w:val="left"/>
      <w:pPr>
        <w:tabs>
          <w:tab w:val="num" w:pos="1418"/>
        </w:tabs>
        <w:ind w:left="1418" w:hanging="284"/>
      </w:pPr>
      <w:rPr>
        <w:rFonts w:ascii="Symbol" w:hAnsi="Symbol" w:hint="default"/>
        <w:color w:val="E1003A"/>
        <w:sz w:val="16"/>
      </w:rPr>
    </w:lvl>
    <w:lvl w:ilvl="5">
      <w:start w:val="1"/>
      <w:numFmt w:val="bullet"/>
      <w:lvlText w:val=""/>
      <w:lvlJc w:val="left"/>
      <w:pPr>
        <w:tabs>
          <w:tab w:val="num" w:pos="1701"/>
        </w:tabs>
        <w:ind w:left="1701" w:hanging="283"/>
      </w:pPr>
      <w:rPr>
        <w:rFonts w:ascii="Symbol" w:hAnsi="Symbol" w:hint="default"/>
        <w:color w:val="E1003A"/>
        <w:sz w:val="16"/>
      </w:rPr>
    </w:lvl>
    <w:lvl w:ilvl="6">
      <w:start w:val="1"/>
      <w:numFmt w:val="none"/>
      <w:suff w:val="nothing"/>
      <w:lvlText w:val="%7"/>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9" w15:restartNumberingAfterBreak="0">
    <w:nsid w:val="447331A4"/>
    <w:multiLevelType w:val="multilevel"/>
    <w:tmpl w:val="0807001F"/>
    <w:lvl w:ilvl="0">
      <w:start w:val="1"/>
      <w:numFmt w:val="decimal"/>
      <w:pStyle w:val="Listenabsatz"/>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D9A5D8E"/>
    <w:multiLevelType w:val="hybridMultilevel"/>
    <w:tmpl w:val="9AD6717A"/>
    <w:lvl w:ilvl="0" w:tplc="B9546A80">
      <w:start w:val="1"/>
      <w:numFmt w:val="decimal"/>
      <w:lvlText w:val="%1."/>
      <w:lvlJc w:val="left"/>
      <w:pPr>
        <w:ind w:left="360" w:hanging="360"/>
      </w:pPr>
      <w:rPr>
        <w:rFonts w:hint="default"/>
      </w:rPr>
    </w:lvl>
    <w:lvl w:ilvl="1" w:tplc="3E28ECF6" w:tentative="1">
      <w:start w:val="1"/>
      <w:numFmt w:val="lowerLetter"/>
      <w:lvlText w:val="%2."/>
      <w:lvlJc w:val="left"/>
      <w:pPr>
        <w:ind w:left="1080" w:hanging="360"/>
      </w:pPr>
    </w:lvl>
    <w:lvl w:ilvl="2" w:tplc="390A9AC4" w:tentative="1">
      <w:start w:val="1"/>
      <w:numFmt w:val="lowerRoman"/>
      <w:lvlText w:val="%3."/>
      <w:lvlJc w:val="right"/>
      <w:pPr>
        <w:ind w:left="1800" w:hanging="180"/>
      </w:pPr>
    </w:lvl>
    <w:lvl w:ilvl="3" w:tplc="D684285A" w:tentative="1">
      <w:start w:val="1"/>
      <w:numFmt w:val="decimal"/>
      <w:lvlText w:val="%4."/>
      <w:lvlJc w:val="left"/>
      <w:pPr>
        <w:ind w:left="2520" w:hanging="360"/>
      </w:pPr>
    </w:lvl>
    <w:lvl w:ilvl="4" w:tplc="82881E66" w:tentative="1">
      <w:start w:val="1"/>
      <w:numFmt w:val="lowerLetter"/>
      <w:lvlText w:val="%5."/>
      <w:lvlJc w:val="left"/>
      <w:pPr>
        <w:ind w:left="3240" w:hanging="360"/>
      </w:pPr>
    </w:lvl>
    <w:lvl w:ilvl="5" w:tplc="B540FCD4" w:tentative="1">
      <w:start w:val="1"/>
      <w:numFmt w:val="lowerRoman"/>
      <w:lvlText w:val="%6."/>
      <w:lvlJc w:val="right"/>
      <w:pPr>
        <w:ind w:left="3960" w:hanging="180"/>
      </w:pPr>
    </w:lvl>
    <w:lvl w:ilvl="6" w:tplc="E4FA0D0E" w:tentative="1">
      <w:start w:val="1"/>
      <w:numFmt w:val="decimal"/>
      <w:lvlText w:val="%7."/>
      <w:lvlJc w:val="left"/>
      <w:pPr>
        <w:ind w:left="4680" w:hanging="360"/>
      </w:pPr>
    </w:lvl>
    <w:lvl w:ilvl="7" w:tplc="1018C5BC" w:tentative="1">
      <w:start w:val="1"/>
      <w:numFmt w:val="lowerLetter"/>
      <w:lvlText w:val="%8."/>
      <w:lvlJc w:val="left"/>
      <w:pPr>
        <w:ind w:left="5400" w:hanging="360"/>
      </w:pPr>
    </w:lvl>
    <w:lvl w:ilvl="8" w:tplc="2F40038C" w:tentative="1">
      <w:start w:val="1"/>
      <w:numFmt w:val="lowerRoman"/>
      <w:lvlText w:val="%9."/>
      <w:lvlJc w:val="right"/>
      <w:pPr>
        <w:ind w:left="6120" w:hanging="180"/>
      </w:pPr>
    </w:lvl>
  </w:abstractNum>
  <w:abstractNum w:abstractNumId="11" w15:restartNumberingAfterBreak="0">
    <w:nsid w:val="55A907DD"/>
    <w:multiLevelType w:val="multilevel"/>
    <w:tmpl w:val="3E92B728"/>
    <w:styleLink w:val="AUFZGRAU"/>
    <w:lvl w:ilvl="0">
      <w:start w:val="1"/>
      <w:numFmt w:val="bullet"/>
      <w:pStyle w:val="Aufzhlungszeichen2"/>
      <w:lvlText w:val=""/>
      <w:lvlJc w:val="left"/>
      <w:pPr>
        <w:tabs>
          <w:tab w:val="num" w:pos="284"/>
        </w:tabs>
        <w:ind w:left="284" w:hanging="284"/>
      </w:pPr>
      <w:rPr>
        <w:rFonts w:ascii="Symbol" w:hAnsi="Symbol" w:hint="default"/>
        <w:color w:val="87888A" w:themeColor="accent2"/>
        <w:sz w:val="16"/>
      </w:rPr>
    </w:lvl>
    <w:lvl w:ilvl="1">
      <w:start w:val="1"/>
      <w:numFmt w:val="bullet"/>
      <w:lvlText w:val=""/>
      <w:lvlJc w:val="left"/>
      <w:pPr>
        <w:tabs>
          <w:tab w:val="num" w:pos="567"/>
        </w:tabs>
        <w:ind w:left="567" w:hanging="283"/>
      </w:pPr>
      <w:rPr>
        <w:rFonts w:ascii="Symbol" w:hAnsi="Symbol" w:hint="default"/>
        <w:color w:val="808080"/>
        <w:sz w:val="16"/>
      </w:rPr>
    </w:lvl>
    <w:lvl w:ilvl="2">
      <w:start w:val="1"/>
      <w:numFmt w:val="bullet"/>
      <w:lvlText w:val=""/>
      <w:lvlJc w:val="left"/>
      <w:pPr>
        <w:tabs>
          <w:tab w:val="num" w:pos="851"/>
        </w:tabs>
        <w:ind w:left="851" w:hanging="284"/>
      </w:pPr>
      <w:rPr>
        <w:rFonts w:ascii="Symbol" w:hAnsi="Symbol" w:hint="default"/>
        <w:color w:val="808080"/>
        <w:sz w:val="16"/>
      </w:rPr>
    </w:lvl>
    <w:lvl w:ilvl="3">
      <w:start w:val="1"/>
      <w:numFmt w:val="bullet"/>
      <w:lvlText w:val=""/>
      <w:lvlJc w:val="left"/>
      <w:pPr>
        <w:tabs>
          <w:tab w:val="num" w:pos="1134"/>
        </w:tabs>
        <w:ind w:left="1134" w:hanging="283"/>
      </w:pPr>
      <w:rPr>
        <w:rFonts w:ascii="Symbol" w:hAnsi="Symbol" w:hint="default"/>
        <w:color w:val="808080"/>
        <w:sz w:val="16"/>
      </w:rPr>
    </w:lvl>
    <w:lvl w:ilvl="4">
      <w:start w:val="1"/>
      <w:numFmt w:val="bullet"/>
      <w:lvlText w:val=""/>
      <w:lvlJc w:val="left"/>
      <w:pPr>
        <w:tabs>
          <w:tab w:val="num" w:pos="1418"/>
        </w:tabs>
        <w:ind w:left="1418" w:hanging="284"/>
      </w:pPr>
      <w:rPr>
        <w:rFonts w:ascii="Symbol" w:hAnsi="Symbol" w:hint="default"/>
        <w:color w:val="808080"/>
        <w:sz w:val="16"/>
      </w:rPr>
    </w:lvl>
    <w:lvl w:ilvl="5">
      <w:start w:val="1"/>
      <w:numFmt w:val="bullet"/>
      <w:lvlText w:val=""/>
      <w:lvlJc w:val="left"/>
      <w:pPr>
        <w:tabs>
          <w:tab w:val="num" w:pos="1701"/>
        </w:tabs>
        <w:ind w:left="1701" w:hanging="283"/>
      </w:pPr>
      <w:rPr>
        <w:rFonts w:ascii="Symbol" w:hAnsi="Symbol" w:hint="default"/>
        <w:color w:val="808080"/>
        <w:sz w:val="16"/>
      </w:rPr>
    </w:lvl>
    <w:lvl w:ilvl="6">
      <w:start w:val="1"/>
      <w:numFmt w:val="none"/>
      <w:suff w:val="nothing"/>
      <w:lvlText w:val=""/>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2" w15:restartNumberingAfterBreak="0">
    <w:nsid w:val="55F97982"/>
    <w:multiLevelType w:val="multilevel"/>
    <w:tmpl w:val="006EE2DC"/>
    <w:numStyleLink w:val="AUFZSCHWARZ"/>
  </w:abstractNum>
  <w:abstractNum w:abstractNumId="13" w15:restartNumberingAfterBreak="0">
    <w:nsid w:val="5A3903AE"/>
    <w:multiLevelType w:val="hybridMultilevel"/>
    <w:tmpl w:val="9AD6717A"/>
    <w:lvl w:ilvl="0" w:tplc="DB0007A0">
      <w:start w:val="1"/>
      <w:numFmt w:val="decimal"/>
      <w:lvlText w:val="%1."/>
      <w:lvlJc w:val="left"/>
      <w:pPr>
        <w:ind w:left="360" w:hanging="360"/>
      </w:pPr>
      <w:rPr>
        <w:rFonts w:hint="default"/>
      </w:rPr>
    </w:lvl>
    <w:lvl w:ilvl="1" w:tplc="0450D6A4" w:tentative="1">
      <w:start w:val="1"/>
      <w:numFmt w:val="lowerLetter"/>
      <w:lvlText w:val="%2."/>
      <w:lvlJc w:val="left"/>
      <w:pPr>
        <w:ind w:left="1080" w:hanging="360"/>
      </w:pPr>
    </w:lvl>
    <w:lvl w:ilvl="2" w:tplc="C98C79AA" w:tentative="1">
      <w:start w:val="1"/>
      <w:numFmt w:val="lowerRoman"/>
      <w:lvlText w:val="%3."/>
      <w:lvlJc w:val="right"/>
      <w:pPr>
        <w:ind w:left="1800" w:hanging="180"/>
      </w:pPr>
    </w:lvl>
    <w:lvl w:ilvl="3" w:tplc="F66ADA8C" w:tentative="1">
      <w:start w:val="1"/>
      <w:numFmt w:val="decimal"/>
      <w:lvlText w:val="%4."/>
      <w:lvlJc w:val="left"/>
      <w:pPr>
        <w:ind w:left="2520" w:hanging="360"/>
      </w:pPr>
    </w:lvl>
    <w:lvl w:ilvl="4" w:tplc="C8921700" w:tentative="1">
      <w:start w:val="1"/>
      <w:numFmt w:val="lowerLetter"/>
      <w:lvlText w:val="%5."/>
      <w:lvlJc w:val="left"/>
      <w:pPr>
        <w:ind w:left="3240" w:hanging="360"/>
      </w:pPr>
    </w:lvl>
    <w:lvl w:ilvl="5" w:tplc="BE7C0E6A" w:tentative="1">
      <w:start w:val="1"/>
      <w:numFmt w:val="lowerRoman"/>
      <w:lvlText w:val="%6."/>
      <w:lvlJc w:val="right"/>
      <w:pPr>
        <w:ind w:left="3960" w:hanging="180"/>
      </w:pPr>
    </w:lvl>
    <w:lvl w:ilvl="6" w:tplc="45D8BF42" w:tentative="1">
      <w:start w:val="1"/>
      <w:numFmt w:val="decimal"/>
      <w:lvlText w:val="%7."/>
      <w:lvlJc w:val="left"/>
      <w:pPr>
        <w:ind w:left="4680" w:hanging="360"/>
      </w:pPr>
    </w:lvl>
    <w:lvl w:ilvl="7" w:tplc="CD9EA78E" w:tentative="1">
      <w:start w:val="1"/>
      <w:numFmt w:val="lowerLetter"/>
      <w:lvlText w:val="%8."/>
      <w:lvlJc w:val="left"/>
      <w:pPr>
        <w:ind w:left="5400" w:hanging="360"/>
      </w:pPr>
    </w:lvl>
    <w:lvl w:ilvl="8" w:tplc="9CCE298E" w:tentative="1">
      <w:start w:val="1"/>
      <w:numFmt w:val="lowerRoman"/>
      <w:lvlText w:val="%9."/>
      <w:lvlJc w:val="right"/>
      <w:pPr>
        <w:ind w:left="6120" w:hanging="180"/>
      </w:pPr>
    </w:lvl>
  </w:abstractNum>
  <w:abstractNum w:abstractNumId="14" w15:restartNumberingAfterBreak="0">
    <w:nsid w:val="5FEB7D21"/>
    <w:multiLevelType w:val="hybridMultilevel"/>
    <w:tmpl w:val="9AD6717A"/>
    <w:lvl w:ilvl="0" w:tplc="CC58C9D2">
      <w:start w:val="1"/>
      <w:numFmt w:val="decimal"/>
      <w:lvlText w:val="%1."/>
      <w:lvlJc w:val="left"/>
      <w:pPr>
        <w:ind w:left="360" w:hanging="360"/>
      </w:pPr>
      <w:rPr>
        <w:rFonts w:hint="default"/>
      </w:rPr>
    </w:lvl>
    <w:lvl w:ilvl="1" w:tplc="F4CCE6FC" w:tentative="1">
      <w:start w:val="1"/>
      <w:numFmt w:val="lowerLetter"/>
      <w:lvlText w:val="%2."/>
      <w:lvlJc w:val="left"/>
      <w:pPr>
        <w:ind w:left="1080" w:hanging="360"/>
      </w:pPr>
    </w:lvl>
    <w:lvl w:ilvl="2" w:tplc="F65A9F34" w:tentative="1">
      <w:start w:val="1"/>
      <w:numFmt w:val="lowerRoman"/>
      <w:lvlText w:val="%3."/>
      <w:lvlJc w:val="right"/>
      <w:pPr>
        <w:ind w:left="1800" w:hanging="180"/>
      </w:pPr>
    </w:lvl>
    <w:lvl w:ilvl="3" w:tplc="282ED5F4" w:tentative="1">
      <w:start w:val="1"/>
      <w:numFmt w:val="decimal"/>
      <w:lvlText w:val="%4."/>
      <w:lvlJc w:val="left"/>
      <w:pPr>
        <w:ind w:left="2520" w:hanging="360"/>
      </w:pPr>
    </w:lvl>
    <w:lvl w:ilvl="4" w:tplc="9E86200C" w:tentative="1">
      <w:start w:val="1"/>
      <w:numFmt w:val="lowerLetter"/>
      <w:lvlText w:val="%5."/>
      <w:lvlJc w:val="left"/>
      <w:pPr>
        <w:ind w:left="3240" w:hanging="360"/>
      </w:pPr>
    </w:lvl>
    <w:lvl w:ilvl="5" w:tplc="F51A9978" w:tentative="1">
      <w:start w:val="1"/>
      <w:numFmt w:val="lowerRoman"/>
      <w:lvlText w:val="%6."/>
      <w:lvlJc w:val="right"/>
      <w:pPr>
        <w:ind w:left="3960" w:hanging="180"/>
      </w:pPr>
    </w:lvl>
    <w:lvl w:ilvl="6" w:tplc="2E32ACFC" w:tentative="1">
      <w:start w:val="1"/>
      <w:numFmt w:val="decimal"/>
      <w:lvlText w:val="%7."/>
      <w:lvlJc w:val="left"/>
      <w:pPr>
        <w:ind w:left="4680" w:hanging="360"/>
      </w:pPr>
    </w:lvl>
    <w:lvl w:ilvl="7" w:tplc="B8D8DDD0" w:tentative="1">
      <w:start w:val="1"/>
      <w:numFmt w:val="lowerLetter"/>
      <w:lvlText w:val="%8."/>
      <w:lvlJc w:val="left"/>
      <w:pPr>
        <w:ind w:left="5400" w:hanging="360"/>
      </w:pPr>
    </w:lvl>
    <w:lvl w:ilvl="8" w:tplc="0CD6B546" w:tentative="1">
      <w:start w:val="1"/>
      <w:numFmt w:val="lowerRoman"/>
      <w:lvlText w:val="%9."/>
      <w:lvlJc w:val="right"/>
      <w:pPr>
        <w:ind w:left="6120" w:hanging="180"/>
      </w:pPr>
    </w:lvl>
  </w:abstractNum>
  <w:abstractNum w:abstractNumId="15" w15:restartNumberingAfterBreak="0">
    <w:nsid w:val="6DDB2BBD"/>
    <w:multiLevelType w:val="hybridMultilevel"/>
    <w:tmpl w:val="9AD6717A"/>
    <w:lvl w:ilvl="0" w:tplc="439AC634">
      <w:start w:val="1"/>
      <w:numFmt w:val="decimal"/>
      <w:lvlText w:val="%1."/>
      <w:lvlJc w:val="left"/>
      <w:pPr>
        <w:ind w:left="360" w:hanging="360"/>
      </w:pPr>
      <w:rPr>
        <w:rFonts w:hint="default"/>
      </w:rPr>
    </w:lvl>
    <w:lvl w:ilvl="1" w:tplc="5C0CA43A" w:tentative="1">
      <w:start w:val="1"/>
      <w:numFmt w:val="lowerLetter"/>
      <w:lvlText w:val="%2."/>
      <w:lvlJc w:val="left"/>
      <w:pPr>
        <w:ind w:left="1080" w:hanging="360"/>
      </w:pPr>
    </w:lvl>
    <w:lvl w:ilvl="2" w:tplc="B388F846" w:tentative="1">
      <w:start w:val="1"/>
      <w:numFmt w:val="lowerRoman"/>
      <w:lvlText w:val="%3."/>
      <w:lvlJc w:val="right"/>
      <w:pPr>
        <w:ind w:left="1800" w:hanging="180"/>
      </w:pPr>
    </w:lvl>
    <w:lvl w:ilvl="3" w:tplc="3F9E21CE" w:tentative="1">
      <w:start w:val="1"/>
      <w:numFmt w:val="decimal"/>
      <w:lvlText w:val="%4."/>
      <w:lvlJc w:val="left"/>
      <w:pPr>
        <w:ind w:left="2520" w:hanging="360"/>
      </w:pPr>
    </w:lvl>
    <w:lvl w:ilvl="4" w:tplc="5E402832" w:tentative="1">
      <w:start w:val="1"/>
      <w:numFmt w:val="lowerLetter"/>
      <w:lvlText w:val="%5."/>
      <w:lvlJc w:val="left"/>
      <w:pPr>
        <w:ind w:left="3240" w:hanging="360"/>
      </w:pPr>
    </w:lvl>
    <w:lvl w:ilvl="5" w:tplc="8B0857E8" w:tentative="1">
      <w:start w:val="1"/>
      <w:numFmt w:val="lowerRoman"/>
      <w:lvlText w:val="%6."/>
      <w:lvlJc w:val="right"/>
      <w:pPr>
        <w:ind w:left="3960" w:hanging="180"/>
      </w:pPr>
    </w:lvl>
    <w:lvl w:ilvl="6" w:tplc="BAA60F7A" w:tentative="1">
      <w:start w:val="1"/>
      <w:numFmt w:val="decimal"/>
      <w:lvlText w:val="%7."/>
      <w:lvlJc w:val="left"/>
      <w:pPr>
        <w:ind w:left="4680" w:hanging="360"/>
      </w:pPr>
    </w:lvl>
    <w:lvl w:ilvl="7" w:tplc="381E43F2" w:tentative="1">
      <w:start w:val="1"/>
      <w:numFmt w:val="lowerLetter"/>
      <w:lvlText w:val="%8."/>
      <w:lvlJc w:val="left"/>
      <w:pPr>
        <w:ind w:left="5400" w:hanging="360"/>
      </w:pPr>
    </w:lvl>
    <w:lvl w:ilvl="8" w:tplc="2E9EEC82" w:tentative="1">
      <w:start w:val="1"/>
      <w:numFmt w:val="lowerRoman"/>
      <w:lvlText w:val="%9."/>
      <w:lvlJc w:val="right"/>
      <w:pPr>
        <w:ind w:left="6120" w:hanging="180"/>
      </w:pPr>
    </w:lvl>
  </w:abstractNum>
  <w:abstractNum w:abstractNumId="16" w15:restartNumberingAfterBreak="0">
    <w:nsid w:val="6F9270F5"/>
    <w:multiLevelType w:val="hybridMultilevel"/>
    <w:tmpl w:val="9AD6717A"/>
    <w:lvl w:ilvl="0" w:tplc="4DC0338A">
      <w:start w:val="1"/>
      <w:numFmt w:val="decimal"/>
      <w:lvlText w:val="%1."/>
      <w:lvlJc w:val="left"/>
      <w:pPr>
        <w:ind w:left="360" w:hanging="360"/>
      </w:pPr>
      <w:rPr>
        <w:rFonts w:hint="default"/>
      </w:rPr>
    </w:lvl>
    <w:lvl w:ilvl="1" w:tplc="A69C590C" w:tentative="1">
      <w:start w:val="1"/>
      <w:numFmt w:val="lowerLetter"/>
      <w:lvlText w:val="%2."/>
      <w:lvlJc w:val="left"/>
      <w:pPr>
        <w:ind w:left="1080" w:hanging="360"/>
      </w:pPr>
    </w:lvl>
    <w:lvl w:ilvl="2" w:tplc="B232A7CA" w:tentative="1">
      <w:start w:val="1"/>
      <w:numFmt w:val="lowerRoman"/>
      <w:lvlText w:val="%3."/>
      <w:lvlJc w:val="right"/>
      <w:pPr>
        <w:ind w:left="1800" w:hanging="180"/>
      </w:pPr>
    </w:lvl>
    <w:lvl w:ilvl="3" w:tplc="5FF6EB12" w:tentative="1">
      <w:start w:val="1"/>
      <w:numFmt w:val="decimal"/>
      <w:lvlText w:val="%4."/>
      <w:lvlJc w:val="left"/>
      <w:pPr>
        <w:ind w:left="2520" w:hanging="360"/>
      </w:pPr>
    </w:lvl>
    <w:lvl w:ilvl="4" w:tplc="D2A6D7E2" w:tentative="1">
      <w:start w:val="1"/>
      <w:numFmt w:val="lowerLetter"/>
      <w:lvlText w:val="%5."/>
      <w:lvlJc w:val="left"/>
      <w:pPr>
        <w:ind w:left="3240" w:hanging="360"/>
      </w:pPr>
    </w:lvl>
    <w:lvl w:ilvl="5" w:tplc="92380380" w:tentative="1">
      <w:start w:val="1"/>
      <w:numFmt w:val="lowerRoman"/>
      <w:lvlText w:val="%6."/>
      <w:lvlJc w:val="right"/>
      <w:pPr>
        <w:ind w:left="3960" w:hanging="180"/>
      </w:pPr>
    </w:lvl>
    <w:lvl w:ilvl="6" w:tplc="95567B76" w:tentative="1">
      <w:start w:val="1"/>
      <w:numFmt w:val="decimal"/>
      <w:lvlText w:val="%7."/>
      <w:lvlJc w:val="left"/>
      <w:pPr>
        <w:ind w:left="4680" w:hanging="360"/>
      </w:pPr>
    </w:lvl>
    <w:lvl w:ilvl="7" w:tplc="FB189452" w:tentative="1">
      <w:start w:val="1"/>
      <w:numFmt w:val="lowerLetter"/>
      <w:lvlText w:val="%8."/>
      <w:lvlJc w:val="left"/>
      <w:pPr>
        <w:ind w:left="5400" w:hanging="360"/>
      </w:pPr>
    </w:lvl>
    <w:lvl w:ilvl="8" w:tplc="97701606" w:tentative="1">
      <w:start w:val="1"/>
      <w:numFmt w:val="lowerRoman"/>
      <w:lvlText w:val="%9."/>
      <w:lvlJc w:val="right"/>
      <w:pPr>
        <w:ind w:left="6120" w:hanging="180"/>
      </w:pPr>
    </w:lvl>
  </w:abstractNum>
  <w:num w:numId="1" w16cid:durableId="788204254">
    <w:abstractNumId w:val="11"/>
  </w:num>
  <w:num w:numId="2" w16cid:durableId="26762586">
    <w:abstractNumId w:val="8"/>
  </w:num>
  <w:num w:numId="3" w16cid:durableId="804664702">
    <w:abstractNumId w:val="2"/>
  </w:num>
  <w:num w:numId="4" w16cid:durableId="1589272785">
    <w:abstractNumId w:val="12"/>
  </w:num>
  <w:num w:numId="5" w16cid:durableId="827788269">
    <w:abstractNumId w:val="6"/>
  </w:num>
  <w:num w:numId="6" w16cid:durableId="1222671307">
    <w:abstractNumId w:val="0"/>
  </w:num>
  <w:num w:numId="7" w16cid:durableId="272446662">
    <w:abstractNumId w:val="9"/>
  </w:num>
  <w:num w:numId="8" w16cid:durableId="5274462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489996">
    <w:abstractNumId w:val="1"/>
  </w:num>
  <w:num w:numId="10" w16cid:durableId="1624537535">
    <w:abstractNumId w:val="14"/>
  </w:num>
  <w:num w:numId="11" w16cid:durableId="1621296996">
    <w:abstractNumId w:val="5"/>
  </w:num>
  <w:num w:numId="12" w16cid:durableId="1451624990">
    <w:abstractNumId w:val="16"/>
  </w:num>
  <w:num w:numId="13" w16cid:durableId="1903321324">
    <w:abstractNumId w:val="7"/>
  </w:num>
  <w:num w:numId="14" w16cid:durableId="575557532">
    <w:abstractNumId w:val="10"/>
  </w:num>
  <w:num w:numId="15" w16cid:durableId="235240003">
    <w:abstractNumId w:val="13"/>
  </w:num>
  <w:num w:numId="16" w16cid:durableId="1151943762">
    <w:abstractNumId w:val="3"/>
  </w:num>
  <w:num w:numId="17" w16cid:durableId="132136512">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s>
  <w:rsids>
    <w:rsidRoot w:val="00F73D44"/>
    <w:rsid w:val="000048B8"/>
    <w:rsid w:val="00032302"/>
    <w:rsid w:val="00034080"/>
    <w:rsid w:val="00066D1C"/>
    <w:rsid w:val="00066D46"/>
    <w:rsid w:val="00076FB7"/>
    <w:rsid w:val="000773CE"/>
    <w:rsid w:val="00077C95"/>
    <w:rsid w:val="00090C22"/>
    <w:rsid w:val="000C3261"/>
    <w:rsid w:val="000F3E10"/>
    <w:rsid w:val="000F7A38"/>
    <w:rsid w:val="000F7DBC"/>
    <w:rsid w:val="00110543"/>
    <w:rsid w:val="0013570E"/>
    <w:rsid w:val="00145C42"/>
    <w:rsid w:val="001E2509"/>
    <w:rsid w:val="001E2C87"/>
    <w:rsid w:val="002257FC"/>
    <w:rsid w:val="0023211B"/>
    <w:rsid w:val="002331B7"/>
    <w:rsid w:val="00235F87"/>
    <w:rsid w:val="00244890"/>
    <w:rsid w:val="00265FDA"/>
    <w:rsid w:val="00273FD2"/>
    <w:rsid w:val="00275776"/>
    <w:rsid w:val="00294F07"/>
    <w:rsid w:val="00296E99"/>
    <w:rsid w:val="002D683A"/>
    <w:rsid w:val="00316A56"/>
    <w:rsid w:val="0033603F"/>
    <w:rsid w:val="003730B7"/>
    <w:rsid w:val="003737AE"/>
    <w:rsid w:val="00382989"/>
    <w:rsid w:val="00393F3D"/>
    <w:rsid w:val="003A31B2"/>
    <w:rsid w:val="003F37FF"/>
    <w:rsid w:val="003F6FC5"/>
    <w:rsid w:val="003F74DE"/>
    <w:rsid w:val="00416672"/>
    <w:rsid w:val="004425BD"/>
    <w:rsid w:val="004431B2"/>
    <w:rsid w:val="00453E24"/>
    <w:rsid w:val="00462958"/>
    <w:rsid w:val="004720D0"/>
    <w:rsid w:val="00495333"/>
    <w:rsid w:val="004A3C1E"/>
    <w:rsid w:val="004D0D62"/>
    <w:rsid w:val="004F196F"/>
    <w:rsid w:val="00506509"/>
    <w:rsid w:val="005244B6"/>
    <w:rsid w:val="00526EA9"/>
    <w:rsid w:val="005407C6"/>
    <w:rsid w:val="00541557"/>
    <w:rsid w:val="005539FA"/>
    <w:rsid w:val="005556D0"/>
    <w:rsid w:val="00566090"/>
    <w:rsid w:val="0057114F"/>
    <w:rsid w:val="005850A6"/>
    <w:rsid w:val="005B54F0"/>
    <w:rsid w:val="005D4A9C"/>
    <w:rsid w:val="005E13CA"/>
    <w:rsid w:val="005F666B"/>
    <w:rsid w:val="00603F59"/>
    <w:rsid w:val="00692F1B"/>
    <w:rsid w:val="006A6369"/>
    <w:rsid w:val="006A74E0"/>
    <w:rsid w:val="006E58FB"/>
    <w:rsid w:val="006F4F98"/>
    <w:rsid w:val="00766851"/>
    <w:rsid w:val="00771473"/>
    <w:rsid w:val="00780A3E"/>
    <w:rsid w:val="00786A08"/>
    <w:rsid w:val="00795CAB"/>
    <w:rsid w:val="007963FF"/>
    <w:rsid w:val="007C1939"/>
    <w:rsid w:val="007D2F89"/>
    <w:rsid w:val="007D6888"/>
    <w:rsid w:val="007F18C8"/>
    <w:rsid w:val="00821955"/>
    <w:rsid w:val="00836238"/>
    <w:rsid w:val="00861909"/>
    <w:rsid w:val="00881283"/>
    <w:rsid w:val="008B6E74"/>
    <w:rsid w:val="008C6989"/>
    <w:rsid w:val="008D11E3"/>
    <w:rsid w:val="008E2B70"/>
    <w:rsid w:val="008E7764"/>
    <w:rsid w:val="008F2605"/>
    <w:rsid w:val="009017A7"/>
    <w:rsid w:val="00903044"/>
    <w:rsid w:val="00931BD1"/>
    <w:rsid w:val="00945433"/>
    <w:rsid w:val="009510C5"/>
    <w:rsid w:val="0095284B"/>
    <w:rsid w:val="00963A48"/>
    <w:rsid w:val="00966C21"/>
    <w:rsid w:val="009857FB"/>
    <w:rsid w:val="009B05B6"/>
    <w:rsid w:val="009C0D41"/>
    <w:rsid w:val="009D2061"/>
    <w:rsid w:val="009D67C4"/>
    <w:rsid w:val="009D796A"/>
    <w:rsid w:val="009E0F19"/>
    <w:rsid w:val="009E47B2"/>
    <w:rsid w:val="009F37DC"/>
    <w:rsid w:val="00A04FD6"/>
    <w:rsid w:val="00A17AA9"/>
    <w:rsid w:val="00A2311B"/>
    <w:rsid w:val="00A634FE"/>
    <w:rsid w:val="00AA05F6"/>
    <w:rsid w:val="00AA3477"/>
    <w:rsid w:val="00AC588A"/>
    <w:rsid w:val="00AC609E"/>
    <w:rsid w:val="00AD011B"/>
    <w:rsid w:val="00AE68D7"/>
    <w:rsid w:val="00AF6E4D"/>
    <w:rsid w:val="00B04571"/>
    <w:rsid w:val="00B04987"/>
    <w:rsid w:val="00B35CB5"/>
    <w:rsid w:val="00B47A10"/>
    <w:rsid w:val="00B54B84"/>
    <w:rsid w:val="00B7110B"/>
    <w:rsid w:val="00B8280E"/>
    <w:rsid w:val="00B8581F"/>
    <w:rsid w:val="00BA7686"/>
    <w:rsid w:val="00BC2ACE"/>
    <w:rsid w:val="00BD195E"/>
    <w:rsid w:val="00BF2B83"/>
    <w:rsid w:val="00BF5CA6"/>
    <w:rsid w:val="00C31A7C"/>
    <w:rsid w:val="00C31C9F"/>
    <w:rsid w:val="00C51C2B"/>
    <w:rsid w:val="00C52383"/>
    <w:rsid w:val="00CA413A"/>
    <w:rsid w:val="00CB6B5F"/>
    <w:rsid w:val="00CD0480"/>
    <w:rsid w:val="00CD5E3C"/>
    <w:rsid w:val="00CE0829"/>
    <w:rsid w:val="00CE62ED"/>
    <w:rsid w:val="00CE69A4"/>
    <w:rsid w:val="00CF2429"/>
    <w:rsid w:val="00CF7F58"/>
    <w:rsid w:val="00D10476"/>
    <w:rsid w:val="00D35B72"/>
    <w:rsid w:val="00D70B6B"/>
    <w:rsid w:val="00D77991"/>
    <w:rsid w:val="00D849AB"/>
    <w:rsid w:val="00D86C68"/>
    <w:rsid w:val="00DA423C"/>
    <w:rsid w:val="00DA4C07"/>
    <w:rsid w:val="00DB05AD"/>
    <w:rsid w:val="00DC592B"/>
    <w:rsid w:val="00DD034E"/>
    <w:rsid w:val="00DD299C"/>
    <w:rsid w:val="00DE77C1"/>
    <w:rsid w:val="00DF69E6"/>
    <w:rsid w:val="00E374C2"/>
    <w:rsid w:val="00EA1686"/>
    <w:rsid w:val="00EA63E1"/>
    <w:rsid w:val="00EB7E1E"/>
    <w:rsid w:val="00EE3A17"/>
    <w:rsid w:val="00EF337D"/>
    <w:rsid w:val="00F31950"/>
    <w:rsid w:val="00F343FC"/>
    <w:rsid w:val="00F46A90"/>
    <w:rsid w:val="00F7082D"/>
    <w:rsid w:val="00F73D44"/>
    <w:rsid w:val="00F73E62"/>
    <w:rsid w:val="00F757DE"/>
    <w:rsid w:val="00F80AA5"/>
    <w:rsid w:val="00F816B6"/>
    <w:rsid w:val="00F947E6"/>
    <w:rsid w:val="00FB6865"/>
    <w:rsid w:val="00FC2B60"/>
    <w:rsid w:val="00FC68C9"/>
    <w:rsid w:val="00FC7054"/>
    <w:rsid w:val="00FD0A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6862F"/>
  <w15:docId w15:val="{D7278975-32F0-4B93-AF2C-B3B6D23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F2B83"/>
    <w:rPr>
      <w:rFonts w:asciiTheme="minorHAnsi" w:hAnsiTheme="minorHAnsi"/>
    </w:rPr>
  </w:style>
  <w:style w:type="paragraph" w:styleId="berschrift1">
    <w:name w:val="heading 1"/>
    <w:basedOn w:val="Standard"/>
    <w:next w:val="Standard"/>
    <w:link w:val="berschrift1Zchn"/>
    <w:qFormat/>
    <w:rsid w:val="009C0D41"/>
    <w:pPr>
      <w:spacing w:before="100" w:after="40"/>
      <w:outlineLvl w:val="0"/>
    </w:pPr>
    <w:rPr>
      <w:rFonts w:asciiTheme="majorHAnsi" w:eastAsiaTheme="majorEastAsia" w:hAnsiTheme="majorHAnsi" w:cstheme="majorBidi"/>
      <w:b/>
      <w:bCs/>
      <w:color w:val="D50029" w:themeColor="accent1"/>
      <w:spacing w:val="10"/>
      <w:sz w:val="24"/>
      <w:szCs w:val="28"/>
    </w:rPr>
  </w:style>
  <w:style w:type="paragraph" w:styleId="berschrift2">
    <w:name w:val="heading 2"/>
    <w:basedOn w:val="Standard"/>
    <w:next w:val="Standard"/>
    <w:link w:val="berschrift2Zchn"/>
    <w:unhideWhenUsed/>
    <w:qFormat/>
    <w:rsid w:val="00316A56"/>
    <w:pPr>
      <w:keepNext/>
      <w:keepLines/>
      <w:spacing w:before="200" w:after="40"/>
      <w:outlineLvl w:val="1"/>
    </w:pPr>
    <w:rPr>
      <w:rFonts w:asciiTheme="majorHAnsi" w:eastAsiaTheme="majorEastAsia" w:hAnsiTheme="majorHAnsi" w:cstheme="majorBidi"/>
      <w:b/>
      <w:bCs/>
      <w:color w:val="87888A" w:themeColor="accent2"/>
      <w:sz w:val="22"/>
      <w:szCs w:val="26"/>
    </w:rPr>
  </w:style>
  <w:style w:type="paragraph" w:styleId="berschrift3">
    <w:name w:val="heading 3"/>
    <w:basedOn w:val="Standard"/>
    <w:next w:val="Standard"/>
    <w:link w:val="berschrift3Zchn"/>
    <w:unhideWhenUsed/>
    <w:qFormat/>
    <w:rsid w:val="00316A56"/>
    <w:pPr>
      <w:keepNext/>
      <w:keepLines/>
      <w:spacing w:before="200" w:after="40" w:line="240" w:lineRule="auto"/>
      <w:outlineLvl w:val="2"/>
    </w:pPr>
    <w:rPr>
      <w:rFonts w:asciiTheme="majorHAnsi" w:eastAsiaTheme="majorEastAsia" w:hAnsiTheme="majorHAnsi" w:cstheme="majorBidi"/>
      <w:b/>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017A7"/>
    <w:pPr>
      <w:tabs>
        <w:tab w:val="right" w:pos="13467"/>
      </w:tabs>
      <w:spacing w:line="240" w:lineRule="auto"/>
      <w:ind w:right="54"/>
    </w:pPr>
    <w:rPr>
      <w:snapToGrid w:val="0"/>
      <w:sz w:val="18"/>
      <w:szCs w:val="18"/>
      <w:lang w:eastAsia="de-DE"/>
    </w:rPr>
  </w:style>
  <w:style w:type="character" w:customStyle="1" w:styleId="KopfzeileZchn">
    <w:name w:val="Kopfzeile Zchn"/>
    <w:basedOn w:val="Absatz-Standardschriftart"/>
    <w:link w:val="Kopfzeile"/>
    <w:rsid w:val="009017A7"/>
    <w:rPr>
      <w:rFonts w:asciiTheme="minorHAnsi" w:hAnsiTheme="minorHAnsi"/>
      <w:snapToGrid w:val="0"/>
      <w:sz w:val="18"/>
      <w:szCs w:val="18"/>
      <w:lang w:eastAsia="de-DE"/>
    </w:rPr>
  </w:style>
  <w:style w:type="paragraph" w:styleId="Fuzeile">
    <w:name w:val="footer"/>
    <w:basedOn w:val="Standard"/>
    <w:link w:val="FuzeileZchn"/>
    <w:rsid w:val="009017A7"/>
    <w:pPr>
      <w:tabs>
        <w:tab w:val="right" w:pos="13467"/>
      </w:tabs>
      <w:spacing w:line="240" w:lineRule="auto"/>
    </w:pPr>
    <w:rPr>
      <w:snapToGrid w:val="0"/>
      <w:sz w:val="18"/>
      <w:szCs w:val="18"/>
      <w:lang w:eastAsia="de-DE"/>
    </w:rPr>
  </w:style>
  <w:style w:type="character" w:customStyle="1" w:styleId="FuzeileZchn">
    <w:name w:val="Fußzeile Zchn"/>
    <w:basedOn w:val="Absatz-Standardschriftart"/>
    <w:link w:val="Fuzeile"/>
    <w:rsid w:val="009017A7"/>
    <w:rPr>
      <w:rFonts w:asciiTheme="minorHAnsi" w:hAnsiTheme="minorHAnsi"/>
      <w:snapToGrid w:val="0"/>
      <w:sz w:val="18"/>
      <w:szCs w:val="18"/>
      <w:lang w:eastAsia="de-DE"/>
    </w:rPr>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D86C68"/>
    <w:rPr>
      <w:color w:val="808080"/>
      <w:sz w:val="16"/>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rsid w:val="00244890"/>
    <w:rPr>
      <w:rFonts w:asciiTheme="minorHAnsi" w:hAnsiTheme="minorHAnsi"/>
      <w:i/>
      <w:iCs/>
      <w:sz w:val="20"/>
    </w:rPr>
  </w:style>
  <w:style w:type="paragraph" w:styleId="Titel">
    <w:name w:val="Title"/>
    <w:basedOn w:val="Standard"/>
    <w:next w:val="Standard"/>
    <w:link w:val="TitelZchn"/>
    <w:qFormat/>
    <w:rsid w:val="004A3C1E"/>
    <w:pPr>
      <w:pBdr>
        <w:bottom w:val="single" w:sz="8" w:space="4" w:color="D50029" w:themeColor="accent1"/>
      </w:pBdr>
      <w:spacing w:before="200" w:after="28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4A3C1E"/>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9C0D41"/>
    <w:rPr>
      <w:rFonts w:asciiTheme="majorHAnsi" w:eastAsiaTheme="majorEastAsia" w:hAnsiTheme="majorHAnsi" w:cstheme="majorBidi"/>
      <w:b/>
      <w:bCs/>
      <w:color w:val="D50029" w:themeColor="accent1"/>
      <w:spacing w:val="10"/>
      <w:sz w:val="24"/>
      <w:szCs w:val="28"/>
    </w:rPr>
  </w:style>
  <w:style w:type="paragraph" w:styleId="Untertitel">
    <w:name w:val="Subtitle"/>
    <w:basedOn w:val="Standard"/>
    <w:next w:val="Standard"/>
    <w:link w:val="UntertitelZchn"/>
    <w:qFormat/>
    <w:rsid w:val="004A3C1E"/>
    <w:pPr>
      <w:numPr>
        <w:ilvl w:val="1"/>
      </w:numPr>
      <w:spacing w:before="200" w:after="400"/>
    </w:pPr>
    <w:rPr>
      <w:rFonts w:asciiTheme="majorHAnsi" w:eastAsiaTheme="majorEastAsia" w:hAnsiTheme="majorHAnsi" w:cstheme="majorBidi"/>
      <w:iCs/>
      <w:color w:val="87888A" w:themeColor="accent2"/>
      <w:spacing w:val="15"/>
      <w:sz w:val="28"/>
      <w:szCs w:val="24"/>
    </w:rPr>
  </w:style>
  <w:style w:type="character" w:customStyle="1" w:styleId="UntertitelZchn">
    <w:name w:val="Untertitel Zchn"/>
    <w:basedOn w:val="Absatz-Standardschriftart"/>
    <w:link w:val="Untertitel"/>
    <w:rsid w:val="004A3C1E"/>
    <w:rPr>
      <w:rFonts w:asciiTheme="majorHAnsi" w:eastAsiaTheme="majorEastAsia" w:hAnsiTheme="majorHAnsi" w:cstheme="majorBidi"/>
      <w:iCs/>
      <w:color w:val="87888A" w:themeColor="accent2"/>
      <w:spacing w:val="15"/>
      <w:sz w:val="28"/>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customStyle="1" w:styleId="berschrift3Zchn">
    <w:name w:val="Überschrift 3 Zchn"/>
    <w:basedOn w:val="Absatz-Standardschriftart"/>
    <w:link w:val="berschrift3"/>
    <w:rsid w:val="00316A56"/>
    <w:rPr>
      <w:rFonts w:asciiTheme="majorHAnsi" w:eastAsiaTheme="majorEastAsia" w:hAnsiTheme="majorHAnsi" w:cstheme="majorBidi"/>
      <w:b/>
      <w:bCs/>
      <w:color w:val="000000" w:themeColor="text1"/>
    </w:rPr>
  </w:style>
  <w:style w:type="paragraph" w:customStyle="1" w:styleId="Betreff">
    <w:name w:val="Betreff"/>
    <w:basedOn w:val="Standard"/>
    <w:next w:val="Standard"/>
    <w:rsid w:val="009F37DC"/>
    <w:rPr>
      <w:rFonts w:ascii="Arial" w:hAnsi="Arial"/>
      <w:b/>
    </w:rPr>
  </w:style>
  <w:style w:type="character" w:customStyle="1" w:styleId="berschrift2Zchn">
    <w:name w:val="Überschrift 2 Zchn"/>
    <w:basedOn w:val="Absatz-Standardschriftart"/>
    <w:link w:val="berschrift2"/>
    <w:rsid w:val="00316A56"/>
    <w:rPr>
      <w:rFonts w:asciiTheme="majorHAnsi" w:eastAsiaTheme="majorEastAsia" w:hAnsiTheme="majorHAnsi" w:cstheme="majorBidi"/>
      <w:b/>
      <w:bCs/>
      <w:color w:val="87888A" w:themeColor="accent2"/>
      <w:sz w:val="22"/>
      <w:szCs w:val="26"/>
    </w:rPr>
  </w:style>
  <w:style w:type="paragraph" w:styleId="Textkrper">
    <w:name w:val="Body Text"/>
    <w:basedOn w:val="Standard"/>
    <w:link w:val="TextkrperZchn"/>
    <w:qFormat/>
    <w:rsid w:val="008C6989"/>
    <w:pPr>
      <w:spacing w:after="60" w:line="240" w:lineRule="exact"/>
      <w:ind w:right="6"/>
    </w:pPr>
    <w:rPr>
      <w:sz w:val="16"/>
    </w:rPr>
  </w:style>
  <w:style w:type="character" w:customStyle="1" w:styleId="TextkrperZchn">
    <w:name w:val="Textkörper Zchn"/>
    <w:basedOn w:val="Absatz-Standardschriftart"/>
    <w:link w:val="Textkrper"/>
    <w:rsid w:val="008C6989"/>
    <w:rPr>
      <w:rFonts w:asciiTheme="minorHAnsi" w:hAnsiTheme="minorHAnsi"/>
      <w:sz w:val="16"/>
    </w:rPr>
  </w:style>
  <w:style w:type="table" w:styleId="MittlereSchattierung2-Akzent1">
    <w:name w:val="Medium Shading 2 Accent 1"/>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002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0029" w:themeFill="accent1"/>
      </w:tcPr>
    </w:tblStylePr>
    <w:tblStylePr w:type="lastCol">
      <w:rPr>
        <w:b/>
        <w:bCs/>
        <w:color w:val="FFFFFF" w:themeColor="background1"/>
      </w:rPr>
      <w:tblPr/>
      <w:tcPr>
        <w:tcBorders>
          <w:left w:val="nil"/>
          <w:right w:val="nil"/>
          <w:insideH w:val="nil"/>
          <w:insideV w:val="nil"/>
        </w:tcBorders>
        <w:shd w:val="clear" w:color="auto" w:fill="D5002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8DB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8DBA" w:themeFill="accent6"/>
      </w:tcPr>
    </w:tblStylePr>
    <w:tblStylePr w:type="lastCol">
      <w:rPr>
        <w:b/>
        <w:bCs/>
        <w:color w:val="FFFFFF" w:themeColor="background1"/>
      </w:rPr>
      <w:tblPr/>
      <w:tcPr>
        <w:tcBorders>
          <w:left w:val="nil"/>
          <w:right w:val="nil"/>
          <w:insideH w:val="nil"/>
          <w:insideV w:val="nil"/>
        </w:tcBorders>
        <w:shd w:val="clear" w:color="auto" w:fill="B18DB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2E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2E37" w:themeFill="accent4"/>
      </w:tcPr>
    </w:tblStylePr>
    <w:tblStylePr w:type="lastCol">
      <w:rPr>
        <w:b/>
        <w:bCs/>
        <w:color w:val="FFFFFF" w:themeColor="background1"/>
      </w:rPr>
      <w:tblPr/>
      <w:tcPr>
        <w:tcBorders>
          <w:left w:val="nil"/>
          <w:right w:val="nil"/>
          <w:insideH w:val="nil"/>
          <w:insideV w:val="nil"/>
        </w:tcBorders>
        <w:shd w:val="clear" w:color="auto" w:fill="A42E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HelleListe-Akzent4">
    <w:name w:val="Light List Accent 4"/>
    <w:basedOn w:val="NormaleTabelle"/>
    <w:uiPriority w:val="61"/>
    <w:rsid w:val="00AC609E"/>
    <w:pPr>
      <w:spacing w:line="240" w:lineRule="auto"/>
    </w:pPr>
    <w:tblPr>
      <w:tblStyleRowBandSize w:val="1"/>
      <w:tblStyleColBandSize w:val="1"/>
      <w:tblBorders>
        <w:top w:val="single" w:sz="8" w:space="0" w:color="A42E37" w:themeColor="accent4"/>
        <w:left w:val="single" w:sz="8" w:space="0" w:color="A42E37" w:themeColor="accent4"/>
        <w:bottom w:val="single" w:sz="8" w:space="0" w:color="A42E37" w:themeColor="accent4"/>
        <w:right w:val="single" w:sz="8" w:space="0" w:color="A42E37" w:themeColor="accent4"/>
      </w:tblBorders>
    </w:tblPr>
    <w:tblStylePr w:type="firstRow">
      <w:pPr>
        <w:spacing w:before="0" w:after="0" w:line="240" w:lineRule="auto"/>
      </w:pPr>
      <w:rPr>
        <w:b/>
        <w:bCs/>
        <w:color w:val="FFFFFF" w:themeColor="background1"/>
      </w:rPr>
      <w:tblPr/>
      <w:tcPr>
        <w:shd w:val="clear" w:color="auto" w:fill="A42E37" w:themeFill="accent4"/>
      </w:tcPr>
    </w:tblStylePr>
    <w:tblStylePr w:type="lastRow">
      <w:pPr>
        <w:spacing w:before="0" w:after="0" w:line="240" w:lineRule="auto"/>
      </w:pPr>
      <w:rPr>
        <w:b/>
        <w:bCs/>
      </w:rPr>
      <w:tblPr/>
      <w:tcPr>
        <w:tcBorders>
          <w:top w:val="double" w:sz="6" w:space="0" w:color="A42E37" w:themeColor="accent4"/>
          <w:left w:val="single" w:sz="8" w:space="0" w:color="A42E37" w:themeColor="accent4"/>
          <w:bottom w:val="single" w:sz="8" w:space="0" w:color="A42E37" w:themeColor="accent4"/>
          <w:right w:val="single" w:sz="8" w:space="0" w:color="A42E37" w:themeColor="accent4"/>
        </w:tcBorders>
      </w:tcPr>
    </w:tblStylePr>
    <w:tblStylePr w:type="firstCol">
      <w:rPr>
        <w:b/>
        <w:bCs/>
      </w:rPr>
    </w:tblStylePr>
    <w:tblStylePr w:type="lastCol">
      <w:rPr>
        <w:b/>
        <w:bCs/>
      </w:rPr>
    </w:tblStylePr>
    <w:tblStylePr w:type="band1Vert">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tblStylePr w:type="band1Horz">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style>
  <w:style w:type="table" w:styleId="HelleListe-Akzent2">
    <w:name w:val="Light List Accent 2"/>
    <w:basedOn w:val="NormaleTabelle"/>
    <w:uiPriority w:val="61"/>
    <w:rsid w:val="00AC609E"/>
    <w:pPr>
      <w:spacing w:line="240" w:lineRule="auto"/>
    </w:pPr>
    <w:tblPr>
      <w:tblStyleRowBandSize w:val="1"/>
      <w:tblStyleColBandSize w:val="1"/>
      <w:tblBorders>
        <w:top w:val="single" w:sz="8" w:space="0" w:color="87888A" w:themeColor="accent2"/>
        <w:left w:val="single" w:sz="8" w:space="0" w:color="87888A" w:themeColor="accent2"/>
        <w:bottom w:val="single" w:sz="8" w:space="0" w:color="87888A" w:themeColor="accent2"/>
        <w:right w:val="single" w:sz="8" w:space="0" w:color="87888A" w:themeColor="accent2"/>
      </w:tblBorders>
    </w:tblPr>
    <w:tblStylePr w:type="firstRow">
      <w:pPr>
        <w:spacing w:before="0" w:after="0" w:line="240" w:lineRule="auto"/>
      </w:pPr>
      <w:rPr>
        <w:b/>
        <w:bCs/>
        <w:color w:val="FFFFFF" w:themeColor="background1"/>
      </w:rPr>
      <w:tblPr/>
      <w:tcPr>
        <w:shd w:val="clear" w:color="auto" w:fill="87888A" w:themeFill="accent2"/>
      </w:tcPr>
    </w:tblStylePr>
    <w:tblStylePr w:type="lastRow">
      <w:pPr>
        <w:spacing w:before="0" w:after="0" w:line="240" w:lineRule="auto"/>
      </w:pPr>
      <w:rPr>
        <w:b/>
        <w:bCs/>
      </w:rPr>
      <w:tblPr/>
      <w:tcPr>
        <w:tcBorders>
          <w:top w:val="double" w:sz="6" w:space="0" w:color="87888A" w:themeColor="accent2"/>
          <w:left w:val="single" w:sz="8" w:space="0" w:color="87888A" w:themeColor="accent2"/>
          <w:bottom w:val="single" w:sz="8" w:space="0" w:color="87888A" w:themeColor="accent2"/>
          <w:right w:val="single" w:sz="8" w:space="0" w:color="87888A" w:themeColor="accent2"/>
        </w:tcBorders>
      </w:tcPr>
    </w:tblStylePr>
    <w:tblStylePr w:type="firstCol">
      <w:rPr>
        <w:b/>
        <w:bCs/>
      </w:rPr>
    </w:tblStylePr>
    <w:tblStylePr w:type="lastCol">
      <w:rPr>
        <w:b/>
        <w:bCs/>
      </w:rPr>
    </w:tblStylePr>
    <w:tblStylePr w:type="band1Vert">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tblStylePr w:type="band1Horz">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style>
  <w:style w:type="table" w:customStyle="1" w:styleId="StadtBernTabelle2">
    <w:name w:val="_StadtBern Tabelle2"/>
    <w:basedOn w:val="NormaleTabelle"/>
    <w:uiPriority w:val="99"/>
    <w:rsid w:val="00DE77C1"/>
    <w:pPr>
      <w:spacing w:line="240" w:lineRule="auto"/>
      <w:contextualSpacing/>
    </w:pPr>
    <w:rPr>
      <w:rFonts w:asciiTheme="minorHAnsi" w:eastAsiaTheme="minorHAnsi" w:hAnsiTheme="minorHAnsi" w:cstheme="minorBidi"/>
      <w:spacing w:val="0"/>
      <w:szCs w:val="22"/>
      <w:lang w:val="it-IT" w:eastAsia="en-US"/>
    </w:rPr>
    <w:tblPr>
      <w:tblStyleRowBandSize w:val="1"/>
      <w:tblInd w:w="108" w:type="dxa"/>
      <w:tblBorders>
        <w:bottom w:val="single" w:sz="4" w:space="0" w:color="87888A" w:themeColor="accent2"/>
        <w:insideH w:val="single" w:sz="4" w:space="0" w:color="87888A" w:themeColor="accent2"/>
      </w:tblBorders>
    </w:tblPr>
    <w:tcPr>
      <w:vAlign w:val="center"/>
    </w:tcPr>
    <w:tblStylePr w:type="firstRow">
      <w:rPr>
        <w:b/>
        <w:color w:val="FFFFFF" w:themeColor="background1"/>
        <w:sz w:val="18"/>
      </w:rPr>
      <w:tblPr/>
      <w:tcPr>
        <w:tcBorders>
          <w:insideV w:val="single" w:sz="2" w:space="0" w:color="FFFFFF" w:themeColor="background1"/>
        </w:tcBorders>
        <w:shd w:val="clear" w:color="auto" w:fill="87888A" w:themeFill="text2"/>
      </w:tcPr>
    </w:tblStylePr>
    <w:tblStylePr w:type="lastRow">
      <w:rPr>
        <w:b/>
      </w:rPr>
      <w:tblPr/>
      <w:tcPr>
        <w:tcBorders>
          <w:insideV w:val="single" w:sz="2" w:space="0" w:color="87888A" w:themeColor="text2"/>
        </w:tcBorders>
      </w:tcPr>
    </w:tblStylePr>
    <w:tblStylePr w:type="band1Horz">
      <w:tblPr/>
      <w:tcPr>
        <w:tcBorders>
          <w:insideV w:val="single" w:sz="2" w:space="0" w:color="87888A" w:themeColor="text2"/>
        </w:tcBorders>
      </w:tcPr>
    </w:tblStylePr>
    <w:tblStylePr w:type="band2Horz">
      <w:tblPr/>
      <w:tcPr>
        <w:tcBorders>
          <w:insideV w:val="single" w:sz="2" w:space="0" w:color="87888A" w:themeColor="text2"/>
        </w:tcBorders>
      </w:tcPr>
    </w:tblStylePr>
  </w:style>
  <w:style w:type="paragraph" w:styleId="Listenabsatz">
    <w:name w:val="List Paragraph"/>
    <w:basedOn w:val="Standard"/>
    <w:link w:val="ListenabsatzZchn"/>
    <w:uiPriority w:val="34"/>
    <w:qFormat/>
    <w:rsid w:val="00066D46"/>
    <w:pPr>
      <w:numPr>
        <w:numId w:val="7"/>
      </w:numPr>
      <w:contextualSpacing/>
      <w:jc w:val="both"/>
    </w:pPr>
  </w:style>
  <w:style w:type="table" w:styleId="Tabellenraster">
    <w:name w:val="Table Grid"/>
    <w:basedOn w:val="NormaleTabelle"/>
    <w:rsid w:val="00DB0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FZGRAU">
    <w:name w:val="_AUFZ_GRAU"/>
    <w:basedOn w:val="KeineListe"/>
    <w:rsid w:val="008B6E74"/>
    <w:pPr>
      <w:numPr>
        <w:numId w:val="1"/>
      </w:numPr>
    </w:pPr>
  </w:style>
  <w:style w:type="numbering" w:customStyle="1" w:styleId="AUFZRot">
    <w:name w:val="_AUFZ_Rot"/>
    <w:basedOn w:val="KeineListe"/>
    <w:rsid w:val="008B6E74"/>
    <w:pPr>
      <w:numPr>
        <w:numId w:val="2"/>
      </w:numPr>
    </w:pPr>
  </w:style>
  <w:style w:type="numbering" w:customStyle="1" w:styleId="AUFZSCHWARZ">
    <w:name w:val="_AUFZ_SCHWARZ"/>
    <w:basedOn w:val="KeineListe"/>
    <w:rsid w:val="008B6E74"/>
    <w:pPr>
      <w:numPr>
        <w:numId w:val="3"/>
      </w:numPr>
    </w:pPr>
  </w:style>
  <w:style w:type="paragraph" w:styleId="Aufzhlungszeichen">
    <w:name w:val="List Bullet"/>
    <w:basedOn w:val="Standard"/>
    <w:uiPriority w:val="99"/>
    <w:unhideWhenUsed/>
    <w:qFormat/>
    <w:rsid w:val="00066D46"/>
    <w:pPr>
      <w:numPr>
        <w:numId w:val="4"/>
      </w:numPr>
      <w:contextualSpacing/>
      <w:jc w:val="both"/>
    </w:pPr>
  </w:style>
  <w:style w:type="paragraph" w:styleId="Aufzhlungszeichen2">
    <w:name w:val="List Bullet 2"/>
    <w:basedOn w:val="Standard"/>
    <w:uiPriority w:val="99"/>
    <w:unhideWhenUsed/>
    <w:qFormat/>
    <w:rsid w:val="00066D46"/>
    <w:pPr>
      <w:numPr>
        <w:numId w:val="5"/>
      </w:numPr>
      <w:spacing w:after="40"/>
      <w:contextualSpacing/>
      <w:jc w:val="both"/>
    </w:pPr>
  </w:style>
  <w:style w:type="paragraph" w:styleId="Aufzhlungszeichen3">
    <w:name w:val="List Bullet 3"/>
    <w:basedOn w:val="Standard"/>
    <w:uiPriority w:val="99"/>
    <w:unhideWhenUsed/>
    <w:qFormat/>
    <w:rsid w:val="00066D46"/>
    <w:pPr>
      <w:numPr>
        <w:numId w:val="6"/>
      </w:numPr>
      <w:contextualSpacing/>
      <w:jc w:val="both"/>
    </w:pPr>
  </w:style>
  <w:style w:type="character" w:customStyle="1" w:styleId="ListenabsatzZchn">
    <w:name w:val="Listenabsatz Zchn"/>
    <w:basedOn w:val="Absatz-Standardschriftart"/>
    <w:link w:val="Listenabsatz"/>
    <w:uiPriority w:val="34"/>
    <w:rsid w:val="00066D46"/>
    <w:rPr>
      <w:rFonts w:asciiTheme="minorHAnsi" w:hAnsiTheme="minorHAnsi"/>
    </w:rPr>
  </w:style>
  <w:style w:type="paragraph" w:styleId="berarbeitung">
    <w:name w:val="Revision"/>
    <w:hidden/>
    <w:uiPriority w:val="99"/>
    <w:semiHidden/>
    <w:rsid w:val="00D70B6B"/>
    <w:pPr>
      <w:spacing w:line="240" w:lineRule="auto"/>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7135A-1B13-4FE5-90C9-F99A8F9EA1F4}"/>
      </w:docPartPr>
      <w:docPartBody>
        <w:p w:rsidR="00273FD2" w:rsidRDefault="00B418AE">
          <w:r w:rsidRPr="00BF5CA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2"/>
    <w:rsid w:val="001E2509"/>
    <w:rsid w:val="00273FD2"/>
    <w:rsid w:val="00690CF9"/>
    <w:rsid w:val="007B1726"/>
    <w:rsid w:val="00B418AE"/>
    <w:rsid w:val="00CB6B5F"/>
    <w:rsid w:val="00D849AB"/>
    <w:rsid w:val="00F46A9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3FD2"/>
    <w:rPr>
      <w:color w:val="808080"/>
      <w:sz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 Bern">
  <a:themeElements>
    <a:clrScheme name="Stadt Bern Farben">
      <a:dk1>
        <a:srgbClr val="000000"/>
      </a:dk1>
      <a:lt1>
        <a:srgbClr val="FFFFFF"/>
      </a:lt1>
      <a:dk2>
        <a:srgbClr val="87888A"/>
      </a:dk2>
      <a:lt2>
        <a:srgbClr val="FFFFFF"/>
      </a:lt2>
      <a:accent1>
        <a:srgbClr val="D50029"/>
      </a:accent1>
      <a:accent2>
        <a:srgbClr val="87888A"/>
      </a:accent2>
      <a:accent3>
        <a:srgbClr val="A3617F"/>
      </a:accent3>
      <a:accent4>
        <a:srgbClr val="A42E37"/>
      </a:accent4>
      <a:accent5>
        <a:srgbClr val="6C8295"/>
      </a:accent5>
      <a:accent6>
        <a:srgbClr val="B18DBA"/>
      </a:accent6>
      <a:hlink>
        <a:srgbClr val="000000"/>
      </a:hlink>
      <a:folHlink>
        <a:srgbClr val="000000"/>
      </a:folHlink>
    </a:clrScheme>
    <a:fontScheme name="Stadt Bern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089C-80D7-4E68-B91D-75308BBF7CE8}">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8164</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Anträge</vt:lpstr>
    </vt:vector>
  </TitlesOfParts>
  <Company>Stadtverwaltung Bern</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dc:title>
  <dc:subject>Datum</dc:subject>
  <dc:creator>Studer Jacqueline, FPI LB</dc:creator>
  <cp:lastModifiedBy>Rosolen Joël, GuB PARL</cp:lastModifiedBy>
  <cp:revision>21</cp:revision>
  <dcterms:created xsi:type="dcterms:W3CDTF">2019-01-11T14:41:00Z</dcterms:created>
  <dcterms:modified xsi:type="dcterms:W3CDTF">2026-10-27T13:07:00Z</dcterms:modified>
  <cp:category>Stadtratssitzung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