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542DAE50"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776D5C">
        <w:rPr>
          <w:b w:val="0"/>
          <w:bCs/>
          <w:sz w:val="22"/>
          <w:szCs w:val="26"/>
        </w:rPr>
        <w:t>11</w:t>
      </w:r>
      <w:r w:rsidR="00D34B0E">
        <w:rPr>
          <w:b w:val="0"/>
          <w:bCs/>
          <w:sz w:val="22"/>
          <w:szCs w:val="26"/>
        </w:rPr>
        <w:t>.06.2025</w:t>
      </w:r>
      <w:r w:rsidR="00453E24">
        <w:rPr>
          <w:rStyle w:val="berschrift2Zchn"/>
          <w:color w:val="656567" w:themeColor="text2" w:themeShade="BF"/>
        </w:rPr>
        <w:t xml:space="preserve">, </w:t>
      </w:r>
      <w:r w:rsidR="00776D5C">
        <w:rPr>
          <w:rStyle w:val="berschrift2Zchn"/>
          <w:color w:val="656567" w:themeColor="text2" w:themeShade="BF"/>
        </w:rPr>
        <w:t>1</w:t>
      </w:r>
      <w:r w:rsidR="00776D5C">
        <w:rPr>
          <w:rStyle w:val="berschrift2Zchn"/>
          <w:color w:val="656567" w:themeColor="text2" w:themeShade="BF"/>
        </w:rPr>
        <w:t>1</w:t>
      </w:r>
      <w:r w:rsidR="007F18C8">
        <w:rPr>
          <w:rStyle w:val="berschrift2Zchn"/>
          <w:color w:val="656567" w:themeColor="text2" w:themeShade="BF"/>
        </w:rPr>
        <w:t>.00 Uhr</w:t>
      </w:r>
      <w:r w:rsidR="00453E24" w:rsidRPr="00453E24">
        <w:rPr>
          <w:rStyle w:val="berschrift2Zchn"/>
          <w:color w:val="656567" w:themeColor="text2" w:themeShade="BF"/>
        </w:rPr>
        <w:t>)</w:t>
      </w:r>
    </w:p>
    <w:p w14:paraId="0902AC1D" w14:textId="7CF35BBE" w:rsidR="009C0D41" w:rsidRDefault="00CD5E3C" w:rsidP="00453E24">
      <w:pPr>
        <w:pStyle w:val="Untertitel"/>
      </w:pPr>
      <w:r>
        <w:t xml:space="preserve">Stadtratssitzung vom </w:t>
      </w:r>
      <w:r w:rsidR="00D34B0E">
        <w:t>26.06.2025</w:t>
      </w:r>
    </w:p>
    <w:p w14:paraId="469186BD" w14:textId="487B010B" w:rsidR="00AA05F6" w:rsidRDefault="00AA05F6" w:rsidP="00AA05F6">
      <w:pPr>
        <w:pStyle w:val="berschrift3"/>
      </w:pPr>
      <w:r>
        <w:t xml:space="preserve">Traktandum </w:t>
      </w:r>
      <w:r w:rsidR="00D34B0E">
        <w:t>9</w:t>
      </w:r>
      <w:r>
        <w:t xml:space="preserve">: </w:t>
      </w:r>
      <w:r w:rsidR="00D34B0E" w:rsidRPr="00D34B0E">
        <w:t>Vierjähriger Leistungsvertrag 2026 – 2029 mit der Vereinigung Berner Gemeinwesenarbeit (VBG); Verpflichtungskredit (Abstimmungsbotschaft) (2024.BSS.0105)</w:t>
      </w:r>
    </w:p>
    <w:tbl>
      <w:tblPr>
        <w:tblStyle w:val="Tabellenraster"/>
        <w:tblW w:w="5000" w:type="pct"/>
        <w:tblLook w:val="04A0" w:firstRow="1" w:lastRow="0" w:firstColumn="1" w:lastColumn="0" w:noHBand="0" w:noVBand="1"/>
      </w:tblPr>
      <w:tblGrid>
        <w:gridCol w:w="676"/>
        <w:gridCol w:w="2259"/>
        <w:gridCol w:w="5245"/>
        <w:gridCol w:w="5331"/>
      </w:tblGrid>
      <w:tr w:rsidR="00795CAB" w14:paraId="2FBFBDA8" w14:textId="77777777" w:rsidTr="00D34B0E">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D7799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D7799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D77991">
            <w:pPr>
              <w:pStyle w:val="berschrift3"/>
            </w:pPr>
            <w:r>
              <w:t>Antrag</w:t>
            </w:r>
          </w:p>
          <w:p w14:paraId="240F40E0" w14:textId="77777777" w:rsidR="00795CAB" w:rsidRDefault="00795CAB" w:rsidP="00D77991"/>
        </w:tc>
        <w:tc>
          <w:tcPr>
            <w:tcW w:w="1973"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D77991">
            <w:pPr>
              <w:pStyle w:val="berschrift3"/>
            </w:pPr>
            <w:r>
              <w:t>Begründung</w:t>
            </w:r>
          </w:p>
        </w:tc>
      </w:tr>
      <w:tr w:rsidR="00795CAB" w14:paraId="03E60D71" w14:textId="77777777" w:rsidTr="00D34B0E">
        <w:tc>
          <w:tcPr>
            <w:tcW w:w="250" w:type="pct"/>
            <w:tcBorders>
              <w:top w:val="single" w:sz="4" w:space="0" w:color="auto"/>
              <w:left w:val="single" w:sz="4" w:space="0" w:color="auto"/>
              <w:bottom w:val="single" w:sz="4" w:space="0" w:color="auto"/>
              <w:right w:val="single" w:sz="4" w:space="0" w:color="auto"/>
            </w:tcBorders>
          </w:tcPr>
          <w:p w14:paraId="69DB9AE3" w14:textId="77777777" w:rsidR="00795CAB" w:rsidRDefault="00795CAB" w:rsidP="00795CA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8D1F3E6" w14:textId="6F38D126" w:rsidR="00795CAB" w:rsidRDefault="00D34B0E" w:rsidP="00D77991">
            <w:r>
              <w:t>SBK</w:t>
            </w:r>
          </w:p>
        </w:tc>
        <w:tc>
          <w:tcPr>
            <w:tcW w:w="1941" w:type="pct"/>
            <w:tcBorders>
              <w:top w:val="single" w:sz="4" w:space="0" w:color="auto"/>
              <w:left w:val="single" w:sz="4" w:space="0" w:color="auto"/>
              <w:bottom w:val="single" w:sz="4" w:space="0" w:color="auto"/>
              <w:right w:val="single" w:sz="4" w:space="0" w:color="auto"/>
            </w:tcBorders>
          </w:tcPr>
          <w:p w14:paraId="4F7D566B" w14:textId="77777777" w:rsidR="00D34B0E" w:rsidRPr="00D34B0E" w:rsidRDefault="00D34B0E" w:rsidP="00D34B0E">
            <w:r w:rsidRPr="00D34B0E">
              <w:rPr>
                <w:b/>
                <w:bCs/>
              </w:rPr>
              <w:t xml:space="preserve">Aufbau Quartierarbeit </w:t>
            </w:r>
            <w:proofErr w:type="spellStart"/>
            <w:r w:rsidRPr="00D34B0E">
              <w:rPr>
                <w:b/>
                <w:bCs/>
              </w:rPr>
              <w:t>Wittigkofen</w:t>
            </w:r>
            <w:proofErr w:type="spellEnd"/>
          </w:p>
          <w:p w14:paraId="19867495" w14:textId="3B35BF1B" w:rsidR="00795CAB" w:rsidRDefault="00D34B0E" w:rsidP="00D77991">
            <w:r w:rsidRPr="00D34B0E">
              <w:t xml:space="preserve">Der Beitrag ist um 35'000 Franken pro Jahr bzw. 140'000 Franken für vier Jahre zu erhöhen für die Quartierarbeit in </w:t>
            </w:r>
            <w:proofErr w:type="spellStart"/>
            <w:r w:rsidRPr="00D34B0E">
              <w:t>Wittigkofen</w:t>
            </w:r>
            <w:proofErr w:type="spellEnd"/>
            <w:r w:rsidRPr="00D34B0E">
              <w:t xml:space="preserve">. Damit soll die Weiterführung des Elterncafés sichergestellt werden. Zusätzlich </w:t>
            </w:r>
            <w:proofErr w:type="gramStart"/>
            <w:r w:rsidRPr="00D34B0E">
              <w:t>sollen</w:t>
            </w:r>
            <w:proofErr w:type="gramEnd"/>
            <w:r w:rsidRPr="00D34B0E">
              <w:t xml:space="preserve"> die Quartierarbeit gezielt verstärkt und neue Angebote aufgebaut werden.</w:t>
            </w:r>
          </w:p>
        </w:tc>
        <w:tc>
          <w:tcPr>
            <w:tcW w:w="1973" w:type="pct"/>
            <w:tcBorders>
              <w:top w:val="single" w:sz="4" w:space="0" w:color="auto"/>
              <w:left w:val="single" w:sz="4" w:space="0" w:color="auto"/>
              <w:bottom w:val="single" w:sz="4" w:space="0" w:color="auto"/>
              <w:right w:val="single" w:sz="4" w:space="0" w:color="auto"/>
            </w:tcBorders>
          </w:tcPr>
          <w:p w14:paraId="56332A2E" w14:textId="17F13026" w:rsidR="00795CAB" w:rsidRDefault="00D34B0E" w:rsidP="00776D5C">
            <w:r w:rsidRPr="00D34B0E">
              <w:t xml:space="preserve">Die Siedlung </w:t>
            </w:r>
            <w:proofErr w:type="spellStart"/>
            <w:r w:rsidRPr="00D34B0E">
              <w:t>Wittigkofen</w:t>
            </w:r>
            <w:proofErr w:type="spellEnd"/>
            <w:r w:rsidRPr="00D34B0E">
              <w:t xml:space="preserve"> ist im Umbruch. Mit der Schliessung der Migros-Filiale und der Apotheke gingen private Dienstleistungen und damit auch niederschwellige Treffpunkte für die Bevölkerung verloren. Die Kirche hat sich ebenfalls weitgehend zurückgezogen. Zusätzlich zu den bestehenden Angeboten (Weiterführung Elterncafé) und allenfalls neuen Angeboten sind eine verstärkte Präsenz und mehr Ressourcen für eine vertiefte Informations- und Vermittlungsarbeit vor Ort nötig. Der Stadtrat hat zudem das </w:t>
            </w:r>
            <w:r w:rsidRPr="00D34B0E">
              <w:rPr>
                <w:b/>
                <w:bCs/>
              </w:rPr>
              <w:t>Interfraktionelle Postulat GFL/EVP, SVP (Lukas Gutzwiller, GFL/Nora</w:t>
            </w:r>
            <w:r w:rsidRPr="00D34B0E">
              <w:t xml:space="preserve"> </w:t>
            </w:r>
            <w:r w:rsidRPr="00D34B0E">
              <w:rPr>
                <w:b/>
                <w:bCs/>
              </w:rPr>
              <w:t xml:space="preserve">Krummen, SP/Thomas Glauser, SVP); Was kann die Stadt zur Stärkung des Quartierzentrums </w:t>
            </w:r>
            <w:proofErr w:type="spellStart"/>
            <w:r w:rsidRPr="00D34B0E">
              <w:rPr>
                <w:b/>
                <w:bCs/>
              </w:rPr>
              <w:t>Saali</w:t>
            </w:r>
            <w:proofErr w:type="spellEnd"/>
            <w:r w:rsidRPr="00D34B0E">
              <w:rPr>
                <w:b/>
                <w:bCs/>
              </w:rPr>
              <w:t xml:space="preserve"> </w:t>
            </w:r>
            <w:proofErr w:type="spellStart"/>
            <w:r w:rsidRPr="00D34B0E">
              <w:rPr>
                <w:b/>
                <w:bCs/>
              </w:rPr>
              <w:t>Wittigkofen</w:t>
            </w:r>
            <w:proofErr w:type="spellEnd"/>
            <w:r w:rsidRPr="00D34B0E">
              <w:rPr>
                <w:b/>
                <w:bCs/>
              </w:rPr>
              <w:t xml:space="preserve"> tun? </w:t>
            </w:r>
            <w:r w:rsidRPr="00D34B0E">
              <w:t>gemäss Antrag des Gemeinderates erheblich erklärt.</w:t>
            </w:r>
          </w:p>
        </w:tc>
      </w:tr>
      <w:tr w:rsidR="00D34B0E" w14:paraId="33C7E20E" w14:textId="77777777" w:rsidTr="00D34B0E">
        <w:tc>
          <w:tcPr>
            <w:tcW w:w="250" w:type="pct"/>
            <w:tcBorders>
              <w:top w:val="single" w:sz="4" w:space="0" w:color="auto"/>
              <w:left w:val="single" w:sz="4" w:space="0" w:color="auto"/>
              <w:bottom w:val="single" w:sz="4" w:space="0" w:color="auto"/>
              <w:right w:val="single" w:sz="4" w:space="0" w:color="auto"/>
            </w:tcBorders>
          </w:tcPr>
          <w:p w14:paraId="07B7AFCF" w14:textId="77777777" w:rsidR="00D34B0E" w:rsidRDefault="00D34B0E" w:rsidP="00795CA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CE05318" w14:textId="6CC25ABF" w:rsidR="00D34B0E" w:rsidRDefault="00D34B0E" w:rsidP="00D77991">
            <w:r>
              <w:t>SBK</w:t>
            </w:r>
          </w:p>
        </w:tc>
        <w:tc>
          <w:tcPr>
            <w:tcW w:w="1941" w:type="pct"/>
            <w:tcBorders>
              <w:top w:val="single" w:sz="4" w:space="0" w:color="auto"/>
              <w:left w:val="single" w:sz="4" w:space="0" w:color="auto"/>
              <w:bottom w:val="single" w:sz="4" w:space="0" w:color="auto"/>
              <w:right w:val="single" w:sz="4" w:space="0" w:color="auto"/>
            </w:tcBorders>
          </w:tcPr>
          <w:p w14:paraId="090C318C" w14:textId="77777777" w:rsidR="00D34B0E" w:rsidRDefault="00D34B0E" w:rsidP="00D34B0E">
            <w:pPr>
              <w:rPr>
                <w:rFonts w:ascii="Arial" w:hAnsi="Arial" w:cs="Arial"/>
                <w:b/>
                <w:bCs/>
              </w:rPr>
            </w:pPr>
            <w:r w:rsidRPr="008C6C19">
              <w:rPr>
                <w:rFonts w:ascii="Arial" w:hAnsi="Arial" w:cs="Arial"/>
                <w:b/>
                <w:bCs/>
              </w:rPr>
              <w:t>Ausbau Nachbarschaft Bern (</w:t>
            </w:r>
            <w:proofErr w:type="spellStart"/>
            <w:r w:rsidRPr="008C6C19">
              <w:rPr>
                <w:rFonts w:ascii="Arial" w:hAnsi="Arial" w:cs="Arial"/>
                <w:b/>
                <w:bCs/>
              </w:rPr>
              <w:t>NaBe</w:t>
            </w:r>
            <w:proofErr w:type="spellEnd"/>
            <w:r w:rsidRPr="008C6C19">
              <w:rPr>
                <w:rFonts w:ascii="Arial" w:hAnsi="Arial" w:cs="Arial"/>
                <w:b/>
                <w:bCs/>
              </w:rPr>
              <w:t>)</w:t>
            </w:r>
          </w:p>
          <w:p w14:paraId="34E090B8" w14:textId="1AD0E445" w:rsidR="00D34B0E" w:rsidRDefault="00D34B0E" w:rsidP="00776D5C">
            <w:r w:rsidRPr="008C6C19">
              <w:rPr>
                <w:rFonts w:ascii="Arial" w:hAnsi="Arial" w:cs="Arial"/>
              </w:rPr>
              <w:t xml:space="preserve">Der Beitrag ist um 30'000 Franken pro Jahr bzw. 120'000 Franken für vier Jahre zu erhöhen. Damit </w:t>
            </w:r>
            <w:r w:rsidRPr="008C6C19">
              <w:rPr>
                <w:rFonts w:ascii="Arial" w:hAnsi="Arial" w:cs="Arial"/>
              </w:rPr>
              <w:lastRenderedPageBreak/>
              <w:t>soll eine Weiterentwicklung und ein Ausbau des Angebotes ermöglicht werden.</w:t>
            </w:r>
          </w:p>
        </w:tc>
        <w:tc>
          <w:tcPr>
            <w:tcW w:w="1973" w:type="pct"/>
            <w:tcBorders>
              <w:top w:val="single" w:sz="4" w:space="0" w:color="auto"/>
              <w:left w:val="single" w:sz="4" w:space="0" w:color="auto"/>
              <w:bottom w:val="single" w:sz="4" w:space="0" w:color="auto"/>
              <w:right w:val="single" w:sz="4" w:space="0" w:color="auto"/>
            </w:tcBorders>
          </w:tcPr>
          <w:p w14:paraId="261CA3E2" w14:textId="7EA3EC09" w:rsidR="00D34B0E" w:rsidRDefault="00D34B0E" w:rsidP="00D77991">
            <w:r w:rsidRPr="00D34B0E">
              <w:lastRenderedPageBreak/>
              <w:t xml:space="preserve">Nachbarschaft Bern bringt Quartierbewohnende in Kontakt. Diese Begegnungen fördern den Austausch im Quartier, mindern das Alleinsein, vereinfachen den Alltag und stärken das Verständnis für andere </w:t>
            </w:r>
            <w:r w:rsidRPr="00D34B0E">
              <w:lastRenderedPageBreak/>
              <w:t xml:space="preserve">Lebenssituationen. Das Angebot ist etabliert und wird rege genutzt. Mit den bisherigen Mitteln ist ein Ausbau nicht möglich, trotz entsprechender Nachfrage – sowohl von </w:t>
            </w:r>
            <w:proofErr w:type="spellStart"/>
            <w:proofErr w:type="gramStart"/>
            <w:r w:rsidRPr="00D34B0E">
              <w:t>Quartierbewohner:innen</w:t>
            </w:r>
            <w:proofErr w:type="spellEnd"/>
            <w:proofErr w:type="gramEnd"/>
            <w:r w:rsidRPr="00D34B0E">
              <w:t>, die Unterstützung wünschen wie auch von Personen, die sich engagieren möchten.</w:t>
            </w:r>
          </w:p>
        </w:tc>
      </w:tr>
      <w:tr w:rsidR="00D34B0E" w14:paraId="370AB6A8" w14:textId="77777777" w:rsidTr="00D34B0E">
        <w:tc>
          <w:tcPr>
            <w:tcW w:w="250" w:type="pct"/>
            <w:tcBorders>
              <w:top w:val="single" w:sz="4" w:space="0" w:color="auto"/>
              <w:left w:val="single" w:sz="4" w:space="0" w:color="auto"/>
              <w:bottom w:val="single" w:sz="4" w:space="0" w:color="auto"/>
              <w:right w:val="single" w:sz="4" w:space="0" w:color="auto"/>
            </w:tcBorders>
          </w:tcPr>
          <w:p w14:paraId="15063237" w14:textId="77777777" w:rsidR="00D34B0E" w:rsidRDefault="00D34B0E" w:rsidP="00D34B0E">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9C11337" w14:textId="43B53449" w:rsidR="00D34B0E" w:rsidRDefault="00D34B0E" w:rsidP="00D34B0E">
            <w:r>
              <w:t>SBK</w:t>
            </w:r>
          </w:p>
        </w:tc>
        <w:tc>
          <w:tcPr>
            <w:tcW w:w="1941" w:type="pct"/>
            <w:tcBorders>
              <w:top w:val="single" w:sz="4" w:space="0" w:color="auto"/>
              <w:left w:val="single" w:sz="4" w:space="0" w:color="auto"/>
              <w:bottom w:val="single" w:sz="4" w:space="0" w:color="auto"/>
              <w:right w:val="single" w:sz="4" w:space="0" w:color="auto"/>
            </w:tcBorders>
          </w:tcPr>
          <w:p w14:paraId="19A3A7C4" w14:textId="77777777" w:rsidR="00D34B0E" w:rsidRDefault="00D34B0E" w:rsidP="00D34B0E">
            <w:pPr>
              <w:rPr>
                <w:rFonts w:ascii="Arial" w:hAnsi="Arial" w:cs="Arial"/>
                <w:b/>
                <w:bCs/>
              </w:rPr>
            </w:pPr>
            <w:r w:rsidRPr="0084573A">
              <w:rPr>
                <w:rFonts w:ascii="Arial" w:hAnsi="Arial" w:cs="Arial"/>
                <w:b/>
                <w:bCs/>
              </w:rPr>
              <w:t>Koordination Familie Schule Quartier, Schulkreis Bethlehem</w:t>
            </w:r>
          </w:p>
          <w:p w14:paraId="6F0AF766" w14:textId="2555BDC1" w:rsidR="00D34B0E" w:rsidRDefault="00D34B0E" w:rsidP="00D34B0E">
            <w:r w:rsidRPr="003D7CA5">
              <w:rPr>
                <w:rFonts w:ascii="Arial" w:hAnsi="Arial" w:cs="Arial"/>
              </w:rPr>
              <w:t xml:space="preserve">Der Beitrag ist um </w:t>
            </w:r>
            <w:r w:rsidRPr="003D7CA5">
              <w:rPr>
                <w:rFonts w:ascii="Arial" w:hAnsi="Arial" w:cs="Arial"/>
              </w:rPr>
              <w:t xml:space="preserve">10’000 </w:t>
            </w:r>
            <w:r w:rsidRPr="003D7CA5">
              <w:rPr>
                <w:rFonts w:ascii="Arial" w:hAnsi="Arial" w:cs="Arial"/>
              </w:rPr>
              <w:t>Franken pro Jahr bzw. 40’000 Franken für vier Jahre neu aufzunehmen. Damit soll die Arbeit der Koordinationsstelle Familie, Schule Quartier im Schulkreis Bethlehem sichergestellt gestellt werden.</w:t>
            </w:r>
          </w:p>
        </w:tc>
        <w:tc>
          <w:tcPr>
            <w:tcW w:w="1973" w:type="pct"/>
            <w:tcBorders>
              <w:top w:val="single" w:sz="4" w:space="0" w:color="auto"/>
              <w:left w:val="single" w:sz="4" w:space="0" w:color="auto"/>
              <w:bottom w:val="single" w:sz="4" w:space="0" w:color="auto"/>
              <w:right w:val="single" w:sz="4" w:space="0" w:color="auto"/>
            </w:tcBorders>
          </w:tcPr>
          <w:p w14:paraId="12C1FCC4" w14:textId="4981F8BB" w:rsidR="00D34B0E" w:rsidRDefault="00D34B0E" w:rsidP="00D34B0E">
            <w:r w:rsidRPr="00180F89">
              <w:t xml:space="preserve">Nach einer erfolgreichen Pilotphase bestätigen </w:t>
            </w:r>
            <w:proofErr w:type="gramStart"/>
            <w:r w:rsidRPr="00180F89">
              <w:t>alle beteiligten Akteur</w:t>
            </w:r>
            <w:proofErr w:type="gramEnd"/>
            <w:r w:rsidRPr="00180F89">
              <w:t xml:space="preserve">*innen (u.a. DOK, </w:t>
            </w:r>
            <w:proofErr w:type="spellStart"/>
            <w:r w:rsidRPr="00180F89">
              <w:t>toj</w:t>
            </w:r>
            <w:proofErr w:type="spellEnd"/>
            <w:r w:rsidRPr="00180F89">
              <w:t xml:space="preserve">, Schulamt, Gesundheitsdienst, VBG) den Mehrwert der Koordinationsstelle. Diese fördert die Zusammenarbeit in herausfordernden Situationen (z.B. Gewaltvorfälle) und ermöglicht durch kürzere Kommunikationswege und einen systematisierten Austausch gemeinsam entwickelte und aufeinander abgestimmte Massnahmen. </w:t>
            </w:r>
            <w:proofErr w:type="gramStart"/>
            <w:r w:rsidRPr="00180F89">
              <w:t>Die Akteur</w:t>
            </w:r>
            <w:proofErr w:type="gramEnd"/>
            <w:r w:rsidRPr="00180F89">
              <w:t>*innen der Soziokultur treten so koordiniert und gemeinsam nach Aussen auf. Dies stärkt ihre Sichtbarkeit gegenüber anderen Playern und den Zielgruppen und fördert eine nachhaltige Verankerung im Sozialraum. Gleichzeitig ermöglicht die koordinierte Zusammenarbeit, Ressourcen freizusetzen, die direkt zugunsten der Zielgruppen eingesetzt werden können.</w:t>
            </w:r>
          </w:p>
        </w:tc>
      </w:tr>
      <w:tr w:rsidR="00D34B0E" w14:paraId="413EB7C5" w14:textId="77777777" w:rsidTr="00D34B0E">
        <w:tc>
          <w:tcPr>
            <w:tcW w:w="250" w:type="pct"/>
            <w:tcBorders>
              <w:top w:val="single" w:sz="4" w:space="0" w:color="auto"/>
              <w:left w:val="single" w:sz="4" w:space="0" w:color="auto"/>
              <w:bottom w:val="single" w:sz="4" w:space="0" w:color="auto"/>
              <w:right w:val="single" w:sz="4" w:space="0" w:color="auto"/>
            </w:tcBorders>
          </w:tcPr>
          <w:p w14:paraId="26D04627" w14:textId="77777777" w:rsidR="00D34B0E" w:rsidRDefault="00D34B0E" w:rsidP="00D34B0E">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1F2018AB" w14:textId="4F1888BB" w:rsidR="00D34B0E" w:rsidRDefault="00D34B0E" w:rsidP="00D34B0E">
            <w:r>
              <w:t>SBK</w:t>
            </w:r>
          </w:p>
        </w:tc>
        <w:tc>
          <w:tcPr>
            <w:tcW w:w="1941" w:type="pct"/>
            <w:tcBorders>
              <w:top w:val="single" w:sz="4" w:space="0" w:color="auto"/>
              <w:left w:val="single" w:sz="4" w:space="0" w:color="auto"/>
              <w:bottom w:val="single" w:sz="4" w:space="0" w:color="auto"/>
              <w:right w:val="single" w:sz="4" w:space="0" w:color="auto"/>
            </w:tcBorders>
          </w:tcPr>
          <w:p w14:paraId="7B424C44" w14:textId="77777777" w:rsidR="00D34B0E" w:rsidRDefault="00D34B0E" w:rsidP="00D34B0E">
            <w:pPr>
              <w:rPr>
                <w:rFonts w:ascii="Arial" w:hAnsi="Arial" w:cs="Arial"/>
              </w:rPr>
            </w:pPr>
            <w:r w:rsidRPr="0084573A">
              <w:rPr>
                <w:rFonts w:ascii="Arial" w:hAnsi="Arial" w:cs="Arial"/>
                <w:b/>
                <w:bCs/>
              </w:rPr>
              <w:t>Stärkung der Quartierarbeit Bümpliz</w:t>
            </w:r>
          </w:p>
          <w:p w14:paraId="2D5F0B13" w14:textId="4F16E6EC" w:rsidR="00D34B0E" w:rsidRDefault="00D34B0E" w:rsidP="00D34B0E">
            <w:r w:rsidRPr="001873AB">
              <w:rPr>
                <w:rFonts w:ascii="Arial" w:hAnsi="Arial" w:cs="Arial"/>
              </w:rPr>
              <w:t>Der Beitrag ist um 40'000 Franken pro Jahr bzw. 160'000 für vier Jahre zu erhöhen. Damit soll die Quartierarbeit in Bümpliz gestärkt werden.</w:t>
            </w:r>
          </w:p>
        </w:tc>
        <w:tc>
          <w:tcPr>
            <w:tcW w:w="1973" w:type="pct"/>
            <w:tcBorders>
              <w:top w:val="single" w:sz="4" w:space="0" w:color="auto"/>
              <w:left w:val="single" w:sz="4" w:space="0" w:color="auto"/>
              <w:bottom w:val="single" w:sz="4" w:space="0" w:color="auto"/>
              <w:right w:val="single" w:sz="4" w:space="0" w:color="auto"/>
            </w:tcBorders>
          </w:tcPr>
          <w:p w14:paraId="32389F29" w14:textId="68691830" w:rsidR="00D34B0E" w:rsidRDefault="00D34B0E" w:rsidP="00D34B0E">
            <w:r w:rsidRPr="00EA48C7">
              <w:t xml:space="preserve">Der Standort im </w:t>
            </w:r>
            <w:proofErr w:type="spellStart"/>
            <w:r w:rsidRPr="00EA48C7">
              <w:t>Stöckacker</w:t>
            </w:r>
            <w:proofErr w:type="spellEnd"/>
            <w:r w:rsidRPr="00EA48C7">
              <w:t xml:space="preserve"> wurde bisher gemeinsam mit der reformierten Kirche geführt. Diese hat nun ihre Mitarbeitenden und Angebote im </w:t>
            </w:r>
            <w:proofErr w:type="spellStart"/>
            <w:r w:rsidRPr="00EA48C7">
              <w:t>Bienzgut</w:t>
            </w:r>
            <w:proofErr w:type="spellEnd"/>
            <w:r w:rsidRPr="00EA48C7">
              <w:t xml:space="preserve"> in Bümpliz zentralisiert. Dasselbe passierte im Kleefeld. Die Quartiertreffs in beiden Quartieren werden nun von der VBG allein geführt. Im </w:t>
            </w:r>
            <w:proofErr w:type="spellStart"/>
            <w:r w:rsidRPr="00EA48C7">
              <w:t>Stöckacker</w:t>
            </w:r>
            <w:proofErr w:type="spellEnd"/>
            <w:r w:rsidRPr="00EA48C7">
              <w:t xml:space="preserve">, wo sich der Treff in den Räumen der Schule befindet, soll deshalb die Zusammenarbeit mit der Schule intensiviert werden. Der Standort befindet sich im Gebiet des ESP Ausserholligen, was in den kommenden Jahren einen grossen Umbruch bewirken wird. Hinzu kommen weitere Quartiere mit Bedarf: </w:t>
            </w:r>
            <w:proofErr w:type="spellStart"/>
            <w:r w:rsidRPr="00EA48C7">
              <w:t>Weidmatt</w:t>
            </w:r>
            <w:proofErr w:type="spellEnd"/>
            <w:r w:rsidRPr="00EA48C7">
              <w:t xml:space="preserve">, </w:t>
            </w:r>
            <w:proofErr w:type="spellStart"/>
            <w:r w:rsidRPr="00EA48C7">
              <w:t>Hohliebi</w:t>
            </w:r>
            <w:proofErr w:type="spellEnd"/>
            <w:r w:rsidRPr="00EA48C7">
              <w:t xml:space="preserve">, Schwabgut und </w:t>
            </w:r>
            <w:proofErr w:type="spellStart"/>
            <w:r w:rsidRPr="00EA48C7">
              <w:t>Fellergut</w:t>
            </w:r>
            <w:proofErr w:type="spellEnd"/>
            <w:r w:rsidRPr="00EA48C7">
              <w:t xml:space="preserve">, die bis anhin nur punktuell mit mobiler Quartierarbeit abgedeckt werden. All diese Quartiere </w:t>
            </w:r>
            <w:r w:rsidRPr="00EA48C7">
              <w:lastRenderedPageBreak/>
              <w:t xml:space="preserve">weisen sozioökonomische Benachteiligungen auf. Eine wirkungsvolle Präsenz und Quartierarbeit </w:t>
            </w:r>
            <w:r w:rsidR="00776D5C" w:rsidRPr="00EA48C7">
              <w:t>sind</w:t>
            </w:r>
            <w:r w:rsidRPr="00EA48C7">
              <w:t xml:space="preserve"> nur mit einer Erhöhung der Pensen zu bewältigen.</w:t>
            </w:r>
          </w:p>
        </w:tc>
      </w:tr>
      <w:tr w:rsidR="00D34B0E" w14:paraId="34EF00FB" w14:textId="77777777" w:rsidTr="00D34B0E">
        <w:tc>
          <w:tcPr>
            <w:tcW w:w="250" w:type="pct"/>
            <w:tcBorders>
              <w:top w:val="single" w:sz="4" w:space="0" w:color="auto"/>
              <w:left w:val="single" w:sz="4" w:space="0" w:color="auto"/>
              <w:bottom w:val="single" w:sz="4" w:space="0" w:color="auto"/>
              <w:right w:val="single" w:sz="4" w:space="0" w:color="auto"/>
            </w:tcBorders>
          </w:tcPr>
          <w:p w14:paraId="27629DA6" w14:textId="77777777" w:rsidR="00D34B0E" w:rsidRDefault="00D34B0E" w:rsidP="00D34B0E">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0D469ECF" w14:textId="5DD4F444" w:rsidR="00D34B0E" w:rsidRDefault="00D34B0E" w:rsidP="00D34B0E">
            <w:r>
              <w:t>SBK</w:t>
            </w:r>
          </w:p>
        </w:tc>
        <w:tc>
          <w:tcPr>
            <w:tcW w:w="1941" w:type="pct"/>
            <w:tcBorders>
              <w:top w:val="single" w:sz="4" w:space="0" w:color="auto"/>
              <w:left w:val="single" w:sz="4" w:space="0" w:color="auto"/>
              <w:bottom w:val="single" w:sz="4" w:space="0" w:color="auto"/>
              <w:right w:val="single" w:sz="4" w:space="0" w:color="auto"/>
            </w:tcBorders>
          </w:tcPr>
          <w:p w14:paraId="4DABACBE" w14:textId="77777777" w:rsidR="00D34B0E" w:rsidRDefault="00D34B0E" w:rsidP="00D34B0E">
            <w:pPr>
              <w:rPr>
                <w:rFonts w:ascii="Arial" w:hAnsi="Arial" w:cs="Arial"/>
                <w:b/>
                <w:bCs/>
              </w:rPr>
            </w:pPr>
            <w:r w:rsidRPr="0084573A">
              <w:rPr>
                <w:rFonts w:ascii="Arial" w:hAnsi="Arial" w:cs="Arial"/>
                <w:b/>
                <w:bCs/>
              </w:rPr>
              <w:t xml:space="preserve">Konsolidierung </w:t>
            </w:r>
            <w:proofErr w:type="spellStart"/>
            <w:r w:rsidRPr="0084573A">
              <w:rPr>
                <w:rFonts w:ascii="Arial" w:hAnsi="Arial" w:cs="Arial"/>
                <w:b/>
                <w:bCs/>
              </w:rPr>
              <w:t>Infotime</w:t>
            </w:r>
            <w:proofErr w:type="spellEnd"/>
          </w:p>
          <w:p w14:paraId="694712D6" w14:textId="2B9849A3" w:rsidR="00D34B0E" w:rsidRDefault="00D34B0E" w:rsidP="00D34B0E">
            <w:r w:rsidRPr="00B27200">
              <w:rPr>
                <w:rFonts w:ascii="Arial" w:hAnsi="Arial" w:cs="Arial"/>
              </w:rPr>
              <w:t>Der Beitrag ist um 20'000 Franken pro Jahr bzw. 80'000 Franken für vier Jahre zu erhöhen. Damit soll das Angebot der Beratungen in Muttersprache im heutigen Ausmass gesichert werden.</w:t>
            </w:r>
          </w:p>
        </w:tc>
        <w:tc>
          <w:tcPr>
            <w:tcW w:w="1973" w:type="pct"/>
            <w:tcBorders>
              <w:top w:val="single" w:sz="4" w:space="0" w:color="auto"/>
              <w:left w:val="single" w:sz="4" w:space="0" w:color="auto"/>
              <w:bottom w:val="single" w:sz="4" w:space="0" w:color="auto"/>
              <w:right w:val="single" w:sz="4" w:space="0" w:color="auto"/>
            </w:tcBorders>
          </w:tcPr>
          <w:p w14:paraId="66AA78F3" w14:textId="0C4DB774" w:rsidR="00D34B0E" w:rsidRDefault="00D34B0E" w:rsidP="00D34B0E">
            <w:r w:rsidRPr="00145061">
              <w:t xml:space="preserve">Heute bieten vier Beraterinnen in fünf verschiedenen Sprachen (Tamilisch, Albanisch, Arabisch, Tigrinja und Amharisch) Sozialberatungen an. Damit erhalten Einwohner*innen, die mit dem Schweizer System ungenügend vertraut sind, einen niederschwelligen Zugang zu Information, Angeboten und Dienstleistungen. </w:t>
            </w:r>
            <w:proofErr w:type="spellStart"/>
            <w:r w:rsidRPr="00145061">
              <w:t>Infotime</w:t>
            </w:r>
            <w:proofErr w:type="spellEnd"/>
            <w:r w:rsidRPr="00145061">
              <w:t xml:space="preserve"> leistet damit einen unverzichtbaren Beitrag zur Integration aller Einwohner*innen der Stadt Bern. Bisher wurde die Differenz von 20'000 Franken durch Drittmittel finanziert, welche die Mitarbeiter*innen der VBG jährlich aufs Neue sicherstellen mussten. Um die Nachhaltigkeit dieses notwendigen Angebotes zu sichern, braucht es Finanzsicherheit für eine längere Periode. Dadurch werden auch bei der VBG wieder Ressourcen frei, die für die direkte Arbeit mit den Zielgruppen eingesetzt werden können.</w:t>
            </w:r>
          </w:p>
        </w:tc>
      </w:tr>
      <w:tr w:rsidR="00D34B0E" w14:paraId="7DA89939" w14:textId="77777777" w:rsidTr="00D34B0E">
        <w:tc>
          <w:tcPr>
            <w:tcW w:w="250" w:type="pct"/>
            <w:tcBorders>
              <w:top w:val="single" w:sz="4" w:space="0" w:color="auto"/>
              <w:left w:val="single" w:sz="4" w:space="0" w:color="auto"/>
              <w:bottom w:val="single" w:sz="4" w:space="0" w:color="auto"/>
              <w:right w:val="single" w:sz="4" w:space="0" w:color="auto"/>
            </w:tcBorders>
          </w:tcPr>
          <w:p w14:paraId="27105AC0" w14:textId="77777777" w:rsidR="00D34B0E" w:rsidRDefault="00D34B0E" w:rsidP="00D34B0E">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3976332B" w14:textId="7D5E59EE" w:rsidR="00D34B0E" w:rsidRDefault="00D34B0E" w:rsidP="00D34B0E">
            <w:r>
              <w:t>SBK</w:t>
            </w:r>
          </w:p>
        </w:tc>
        <w:tc>
          <w:tcPr>
            <w:tcW w:w="1941" w:type="pct"/>
            <w:tcBorders>
              <w:top w:val="single" w:sz="4" w:space="0" w:color="auto"/>
              <w:left w:val="single" w:sz="4" w:space="0" w:color="auto"/>
              <w:bottom w:val="single" w:sz="4" w:space="0" w:color="auto"/>
              <w:right w:val="single" w:sz="4" w:space="0" w:color="auto"/>
            </w:tcBorders>
          </w:tcPr>
          <w:p w14:paraId="27AD001D" w14:textId="77777777" w:rsidR="00D34B0E" w:rsidRDefault="00D34B0E" w:rsidP="00D34B0E">
            <w:pPr>
              <w:rPr>
                <w:rFonts w:ascii="Arial" w:hAnsi="Arial" w:cs="Arial"/>
                <w:b/>
                <w:bCs/>
              </w:rPr>
            </w:pPr>
            <w:r w:rsidRPr="0084573A">
              <w:rPr>
                <w:rFonts w:ascii="Arial" w:hAnsi="Arial" w:cs="Arial"/>
                <w:b/>
                <w:bCs/>
              </w:rPr>
              <w:t>Stärkung soziokulturelle Quartierarbeit Kollektivunterkunft Tiefenau</w:t>
            </w:r>
          </w:p>
          <w:p w14:paraId="0695D40A" w14:textId="681FDFB7" w:rsidR="00D34B0E" w:rsidRDefault="00D34B0E" w:rsidP="00D34B0E">
            <w:r w:rsidRPr="00937516">
              <w:rPr>
                <w:rFonts w:ascii="Arial" w:hAnsi="Arial" w:cs="Arial"/>
              </w:rPr>
              <w:t>Der Beitrag ist um 40'000 Franken pro Jahr bzw. 160'000 Franken für vier Jahre zu erhöhen. Damit soll die soziokulturelle Arbeit im Kontext der Kollektivunterkunft Tiefenau gestärkt und das Monitoring, die Begleitung des Projekts und die Verankerung im Quartier sichergestellt werden.</w:t>
            </w:r>
          </w:p>
        </w:tc>
        <w:tc>
          <w:tcPr>
            <w:tcW w:w="1973" w:type="pct"/>
            <w:tcBorders>
              <w:top w:val="single" w:sz="4" w:space="0" w:color="auto"/>
              <w:left w:val="single" w:sz="4" w:space="0" w:color="auto"/>
              <w:bottom w:val="single" w:sz="4" w:space="0" w:color="auto"/>
              <w:right w:val="single" w:sz="4" w:space="0" w:color="auto"/>
            </w:tcBorders>
          </w:tcPr>
          <w:p w14:paraId="3CF427D3" w14:textId="77795506" w:rsidR="00D34B0E" w:rsidRDefault="00D34B0E" w:rsidP="00D34B0E">
            <w:r w:rsidRPr="007C528A">
              <w:t>Im ehemaligen Spital Tiefenau konnte im Herbst 2024 eine neue Kollektivunterkunft (KU) eröffnet werden. Aktuell sind dort rund 380 Personen untergebracht. Mit der Zeit sollen die Kapazitäten in der KU Tiefenau auf 800 Plätze erweitert werden. Eine Asylunterkunft in dieser Grösse ist für die Stadt Bern, für die Betreiberinnen (Heilsarmee) sowie für das ganzen Quartier mit Chancen und Herausforderungen verbunden. Um die Chancen zu nutzen und Herausforderungen frühzeitig zu erkennen, bedarf das Projekt «KU Tiefenau» eines kontinuierlichen Monitorings und Begleitung. Mit genügend Ressourcen ausgestattet kann die VBG diese Aufgabe übernehmen und als Bindeglied zwischen Stadt, Heilsarmee und dem Quartier fungieren.</w:t>
            </w:r>
          </w:p>
        </w:tc>
      </w:tr>
    </w:tbl>
    <w:p w14:paraId="22D8015E" w14:textId="25A26F06" w:rsidR="00153C89" w:rsidRDefault="00153C89" w:rsidP="00153C89">
      <w:pPr>
        <w:pStyle w:val="berschrift3"/>
        <w:spacing w:before="0" w:after="0" w:line="280" w:lineRule="atLeast"/>
        <w:rPr>
          <w:lang w:val="de-DE"/>
        </w:rPr>
      </w:pPr>
      <w:r>
        <w:rPr>
          <w:lang w:val="de-DE"/>
        </w:rPr>
        <w:lastRenderedPageBreak/>
        <w:t xml:space="preserve">Traktandum 10: </w:t>
      </w:r>
      <w:r w:rsidRPr="00074F29">
        <w:rPr>
          <w:lang w:val="de-DE"/>
        </w:rPr>
        <w:t>Schulzahnmedizin in der Stadt Bern: Reglement über die Schulzahnmedizin (Schulzahnmedizinreglement; SZMR); Erlass</w:t>
      </w:r>
      <w:r w:rsidR="001D5E04">
        <w:rPr>
          <w:lang w:val="de-DE"/>
        </w:rPr>
        <w:t>,</w:t>
      </w:r>
      <w:r w:rsidRPr="00074F29">
        <w:rPr>
          <w:lang w:val="de-DE"/>
        </w:rPr>
        <w:t xml:space="preserve"> Reglement vom 30. März 2006 über das Schulwesen (Schulreglement; SR, SSSB 430.101) und Reglement vom 21. Mai 2000 über die Gebührenerhebung durch die Stadtverwaltung Bern (Gebührenreglement; </w:t>
      </w:r>
      <w:proofErr w:type="spellStart"/>
      <w:r w:rsidRPr="00074F29">
        <w:rPr>
          <w:lang w:val="de-DE"/>
        </w:rPr>
        <w:t>GebR</w:t>
      </w:r>
      <w:proofErr w:type="spellEnd"/>
      <w:r w:rsidRPr="00074F29">
        <w:rPr>
          <w:lang w:val="de-DE"/>
        </w:rPr>
        <w:t>; SSSB 154.11); Teilrevisionen (2024.BSS.0112)</w:t>
      </w:r>
    </w:p>
    <w:p w14:paraId="53B9329D" w14:textId="77777777" w:rsidR="00153C89" w:rsidRDefault="00153C89" w:rsidP="00153C89">
      <w:pPr>
        <w:pStyle w:val="berschrift3"/>
        <w:spacing w:line="280" w:lineRule="atLeast"/>
        <w:rPr>
          <w:lang w:val="de-DE"/>
        </w:rPr>
      </w:pPr>
      <w:r>
        <w:rPr>
          <w:lang w:val="de-DE"/>
        </w:rPr>
        <w:t>Legende zur Synopsis:</w:t>
      </w:r>
    </w:p>
    <w:p w14:paraId="02D7851C" w14:textId="77777777" w:rsidR="00153C89" w:rsidRDefault="00153C89" w:rsidP="00153C89">
      <w:pPr>
        <w:rPr>
          <w:lang w:val="de-DE"/>
        </w:rPr>
      </w:pPr>
      <w:r>
        <w:rPr>
          <w:lang w:val="de-DE"/>
        </w:rPr>
        <w:t xml:space="preserve">Neu = </w:t>
      </w:r>
      <w:r w:rsidRPr="00AB5235">
        <w:rPr>
          <w:b/>
          <w:bCs/>
          <w:i/>
          <w:iCs/>
          <w:lang w:val="de-DE"/>
        </w:rPr>
        <w:t>fett und kursiv</w:t>
      </w:r>
    </w:p>
    <w:p w14:paraId="211A2F02" w14:textId="77777777" w:rsidR="00153C89" w:rsidRDefault="00153C89" w:rsidP="00153C89">
      <w:pPr>
        <w:rPr>
          <w:strike/>
          <w:lang w:val="de-DE"/>
        </w:rPr>
      </w:pPr>
      <w:r>
        <w:rPr>
          <w:lang w:val="de-DE"/>
        </w:rPr>
        <w:t xml:space="preserve">Gestrichen = </w:t>
      </w:r>
      <w:r w:rsidRPr="00C71998">
        <w:rPr>
          <w:strike/>
          <w:lang w:val="de-DE"/>
        </w:rPr>
        <w:t>durchgestrichen</w:t>
      </w:r>
    </w:p>
    <w:p w14:paraId="048A1D2D" w14:textId="77777777" w:rsidR="00153C89" w:rsidRPr="00F83ADB" w:rsidRDefault="00153C89" w:rsidP="00153C89">
      <w:pPr>
        <w:rPr>
          <w:lang w:val="de-DE"/>
        </w:rPr>
      </w:pPr>
      <w:r w:rsidRPr="00F83ADB">
        <w:rPr>
          <w:lang w:val="de-DE"/>
        </w:rPr>
        <w:t>Unverändert = ohne spezielle Formatierung</w:t>
      </w:r>
    </w:p>
    <w:p w14:paraId="418DE95E" w14:textId="77777777" w:rsidR="00153C89" w:rsidRPr="00F83ADB" w:rsidRDefault="00153C89" w:rsidP="00153C89">
      <w:pPr>
        <w:rPr>
          <w:lang w:val="de-DE"/>
        </w:rPr>
      </w:pPr>
      <w:r w:rsidRPr="00F83ADB">
        <w:rPr>
          <w:lang w:val="de-DE"/>
        </w:rPr>
        <w:t>[unverändert] = Bestimmung bleibt unverändert</w:t>
      </w:r>
    </w:p>
    <w:p w14:paraId="7C3E8074" w14:textId="77777777" w:rsidR="00153C89" w:rsidRPr="00F83ADB" w:rsidRDefault="00153C89" w:rsidP="00153C89">
      <w:pPr>
        <w:rPr>
          <w:lang w:val="de-DE"/>
        </w:rPr>
      </w:pPr>
      <w:r>
        <w:rPr>
          <w:lang w:val="de-DE"/>
        </w:rPr>
        <w:t>[</w:t>
      </w:r>
      <w:r w:rsidRPr="00F83ADB">
        <w:rPr>
          <w:lang w:val="de-DE"/>
        </w:rPr>
        <w:t>aufgehoben</w:t>
      </w:r>
      <w:r>
        <w:rPr>
          <w:lang w:val="de-DE"/>
        </w:rPr>
        <w:t>]</w:t>
      </w:r>
      <w:r w:rsidRPr="00F83ADB">
        <w:rPr>
          <w:lang w:val="de-DE"/>
        </w:rPr>
        <w:t xml:space="preserve"> = Bestimmung wird aufgehoben</w:t>
      </w:r>
    </w:p>
    <w:p w14:paraId="04D2E305" w14:textId="77777777" w:rsidR="00153C89" w:rsidRDefault="00153C89" w:rsidP="00153C89">
      <w:pPr>
        <w:rPr>
          <w:lang w:val="de-DE"/>
        </w:rPr>
      </w:pPr>
      <w:r w:rsidRPr="00AB5235">
        <w:rPr>
          <w:u w:val="single"/>
          <w:lang w:val="de-DE"/>
        </w:rPr>
        <w:t>Unterstrichen</w:t>
      </w:r>
      <w:r>
        <w:rPr>
          <w:lang w:val="de-DE"/>
        </w:rPr>
        <w:t xml:space="preserve"> = Veränderung im Vergleich zum Antrag des Gemeinderats</w:t>
      </w:r>
    </w:p>
    <w:p w14:paraId="58962C72" w14:textId="77777777" w:rsidR="00EA02CA" w:rsidRDefault="00EA02CA" w:rsidP="00153C89">
      <w:pPr>
        <w:rPr>
          <w:lang w:val="de-DE"/>
        </w:rPr>
      </w:pPr>
    </w:p>
    <w:p w14:paraId="2539B62E" w14:textId="35D90CEA" w:rsidR="00EA02CA" w:rsidRDefault="00EA02CA" w:rsidP="00EA02CA">
      <w:pPr>
        <w:pStyle w:val="berschrift3"/>
        <w:spacing w:before="0" w:after="0" w:line="280" w:lineRule="atLeast"/>
        <w:rPr>
          <w:lang w:val="de-DE"/>
        </w:rPr>
      </w:pPr>
      <w:r w:rsidRPr="00074F29">
        <w:rPr>
          <w:lang w:val="de-DE"/>
        </w:rPr>
        <w:t>Reglement über die Schulzahnmedizin (Schulzahnmedizinreglement; SZMR); Erlass</w:t>
      </w:r>
    </w:p>
    <w:p w14:paraId="5F305C2B" w14:textId="77777777" w:rsidR="00EA02CA" w:rsidRDefault="00EA02CA" w:rsidP="000048B8">
      <w:pPr>
        <w:rPr>
          <w:lang w:val="de-DE"/>
        </w:rPr>
        <w:sectPr w:rsidR="00EA02CA" w:rsidSect="009017A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2183" w:header="28" w:footer="567" w:gutter="0"/>
          <w:cols w:space="708"/>
          <w:titlePg/>
          <w:docGrid w:linePitch="360"/>
        </w:sectPr>
      </w:pPr>
    </w:p>
    <w:tbl>
      <w:tblPr>
        <w:tblStyle w:val="EinfacheTabelle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736"/>
        <w:gridCol w:w="6731"/>
      </w:tblGrid>
      <w:tr w:rsidR="00153C89" w14:paraId="720AC466" w14:textId="77777777" w:rsidTr="00153C89">
        <w:trPr>
          <w:cnfStyle w:val="100000000000" w:firstRow="1" w:lastRow="0" w:firstColumn="0" w:lastColumn="0" w:oddVBand="0" w:evenVBand="0" w:oddHBand="0" w:evenHBand="0" w:firstRowFirstColumn="0" w:firstRowLastColumn="0" w:lastRowFirstColumn="0" w:lastRowLastColumn="0"/>
          <w:trHeight w:val="489"/>
          <w:tblHeader/>
        </w:trPr>
        <w:tc>
          <w:tcPr>
            <w:tcW w:w="6736" w:type="dxa"/>
          </w:tcPr>
          <w:p w14:paraId="28F853E7" w14:textId="08888091" w:rsidR="00153C89" w:rsidRDefault="00153C89" w:rsidP="0053482B">
            <w:pPr>
              <w:spacing w:line="280" w:lineRule="atLeast"/>
              <w:rPr>
                <w:lang w:val="de-DE"/>
              </w:rPr>
            </w:pPr>
            <w:r>
              <w:rPr>
                <w:lang w:val="de-DE"/>
              </w:rPr>
              <w:t>SZMR; neu</w:t>
            </w:r>
            <w:r w:rsidR="00EA02CA">
              <w:rPr>
                <w:lang w:val="de-DE"/>
              </w:rPr>
              <w:t xml:space="preserve"> / Antrag Gemeinderat</w:t>
            </w:r>
          </w:p>
        </w:tc>
        <w:tc>
          <w:tcPr>
            <w:tcW w:w="6731" w:type="dxa"/>
          </w:tcPr>
          <w:p w14:paraId="59B78F8C" w14:textId="77777777" w:rsidR="00153C89" w:rsidRDefault="00153C89" w:rsidP="0053482B">
            <w:pPr>
              <w:spacing w:line="280" w:lineRule="atLeast"/>
              <w:rPr>
                <w:lang w:val="de-DE"/>
              </w:rPr>
            </w:pPr>
            <w:r>
              <w:rPr>
                <w:lang w:val="de-DE"/>
              </w:rPr>
              <w:t>Anträge</w:t>
            </w:r>
          </w:p>
        </w:tc>
      </w:tr>
      <w:tr w:rsidR="00153C89" w:rsidRPr="007D59EE" w14:paraId="4A522FE1" w14:textId="77777777" w:rsidTr="00153C89">
        <w:trPr>
          <w:cnfStyle w:val="000000100000" w:firstRow="0" w:lastRow="0" w:firstColumn="0" w:lastColumn="0" w:oddVBand="0" w:evenVBand="0" w:oddHBand="1" w:evenHBand="0" w:firstRowFirstColumn="0" w:firstRowLastColumn="0" w:lastRowFirstColumn="0" w:lastRowLastColumn="0"/>
          <w:trHeight w:val="3545"/>
        </w:trPr>
        <w:tc>
          <w:tcPr>
            <w:tcW w:w="6736" w:type="dxa"/>
          </w:tcPr>
          <w:p w14:paraId="221D7564" w14:textId="77777777" w:rsidR="00153C89" w:rsidRPr="001D5E04" w:rsidRDefault="00153C89" w:rsidP="0053482B">
            <w:pPr>
              <w:pStyle w:val="SSSBTitel"/>
              <w:rPr>
                <w:i/>
                <w:iCs/>
              </w:rPr>
            </w:pPr>
            <w:r w:rsidRPr="001D5E04">
              <w:rPr>
                <w:i/>
                <w:iCs/>
              </w:rPr>
              <w:t>Reglement</w:t>
            </w:r>
          </w:p>
          <w:p w14:paraId="5F2D4C60" w14:textId="77777777" w:rsidR="00153C89" w:rsidRPr="001D5E04" w:rsidRDefault="00153C89" w:rsidP="0053482B">
            <w:pPr>
              <w:pStyle w:val="SSSBTitel"/>
              <w:rPr>
                <w:i/>
                <w:iCs/>
              </w:rPr>
            </w:pPr>
            <w:r w:rsidRPr="001D5E04">
              <w:rPr>
                <w:i/>
                <w:iCs/>
              </w:rPr>
              <w:t>über die Schulzahnmedizin</w:t>
            </w:r>
          </w:p>
          <w:p w14:paraId="67D7F0EA" w14:textId="77777777" w:rsidR="00153C89" w:rsidRPr="001D5E04" w:rsidRDefault="00153C89" w:rsidP="0053482B">
            <w:pPr>
              <w:pStyle w:val="SSSBTitel"/>
              <w:rPr>
                <w:i/>
                <w:iCs/>
              </w:rPr>
            </w:pPr>
            <w:r w:rsidRPr="001D5E04">
              <w:rPr>
                <w:i/>
                <w:iCs/>
              </w:rPr>
              <w:t>(Schulzahnmedizinreglement; SZMR)</w:t>
            </w:r>
          </w:p>
          <w:p w14:paraId="62422C61" w14:textId="77777777" w:rsidR="00153C89" w:rsidRPr="00492E8A" w:rsidRDefault="00153C89" w:rsidP="0053482B">
            <w:pPr>
              <w:pStyle w:val="SSSBStandard"/>
              <w:rPr>
                <w:b/>
                <w:bCs/>
                <w:i/>
                <w:iCs/>
              </w:rPr>
            </w:pPr>
            <w:r w:rsidRPr="00492E8A">
              <w:rPr>
                <w:b/>
                <w:bCs/>
                <w:i/>
                <w:iCs/>
              </w:rPr>
              <w:t xml:space="preserve">Der Stadtrat von Bern, </w:t>
            </w:r>
          </w:p>
          <w:p w14:paraId="1FAD6A3E" w14:textId="77777777" w:rsidR="00153C89" w:rsidRPr="00492E8A" w:rsidRDefault="00153C89" w:rsidP="0053482B">
            <w:pPr>
              <w:pStyle w:val="SSSBStandard"/>
              <w:rPr>
                <w:b/>
                <w:bCs/>
                <w:i/>
                <w:iCs/>
              </w:rPr>
            </w:pPr>
            <w:r w:rsidRPr="00492E8A">
              <w:rPr>
                <w:b/>
                <w:bCs/>
                <w:i/>
                <w:iCs/>
              </w:rPr>
              <w:t>gestützt auf</w:t>
            </w:r>
          </w:p>
          <w:p w14:paraId="5AD1A0AB" w14:textId="77777777" w:rsidR="00153C89" w:rsidRPr="00492E8A" w:rsidRDefault="00153C89" w:rsidP="0053482B">
            <w:pPr>
              <w:pStyle w:val="SSSBVerweis"/>
              <w:rPr>
                <w:b/>
                <w:bCs/>
                <w:i/>
                <w:iCs/>
              </w:rPr>
            </w:pPr>
            <w:r w:rsidRPr="00492E8A">
              <w:rPr>
                <w:b/>
                <w:bCs/>
                <w:i/>
                <w:iCs/>
              </w:rPr>
              <w:t>–</w:t>
            </w:r>
            <w:r w:rsidRPr="00492E8A">
              <w:rPr>
                <w:b/>
                <w:bCs/>
                <w:i/>
                <w:iCs/>
              </w:rPr>
              <w:tab/>
              <w:t>Artikel 60 des Volksschulgesetzes vom 19. März 1992;</w:t>
            </w:r>
          </w:p>
          <w:p w14:paraId="370D9949" w14:textId="06F8EC25" w:rsidR="00153C89" w:rsidRPr="00492E8A" w:rsidRDefault="00153C89" w:rsidP="0053482B">
            <w:pPr>
              <w:pStyle w:val="SSSBVerweis"/>
              <w:rPr>
                <w:b/>
                <w:bCs/>
                <w:i/>
                <w:iCs/>
              </w:rPr>
            </w:pPr>
            <w:r w:rsidRPr="00492E8A">
              <w:rPr>
                <w:b/>
                <w:bCs/>
                <w:i/>
                <w:iCs/>
              </w:rPr>
              <w:t>–</w:t>
            </w:r>
            <w:r w:rsidRPr="00492E8A">
              <w:rPr>
                <w:b/>
                <w:bCs/>
                <w:i/>
                <w:iCs/>
              </w:rPr>
              <w:tab/>
              <w:t>die Artikel 61 und 62 des Gemeindegesetzes vom 16. März 1998;</w:t>
            </w:r>
          </w:p>
          <w:p w14:paraId="1FBE6535" w14:textId="77777777" w:rsidR="00153C89" w:rsidRDefault="00153C89" w:rsidP="0053482B">
            <w:pPr>
              <w:pStyle w:val="SSSBVerweis"/>
              <w:rPr>
                <w:b/>
                <w:bCs/>
                <w:i/>
                <w:iCs/>
              </w:rPr>
            </w:pPr>
            <w:r w:rsidRPr="00492E8A">
              <w:rPr>
                <w:b/>
                <w:bCs/>
                <w:i/>
                <w:iCs/>
              </w:rPr>
              <w:t>–</w:t>
            </w:r>
            <w:r w:rsidRPr="00492E8A">
              <w:rPr>
                <w:b/>
                <w:bCs/>
                <w:i/>
                <w:iCs/>
              </w:rPr>
              <w:tab/>
              <w:t>Artikel 14 der Gemeindeordnung der Stadt Bern vom 3. Dezember 1998,</w:t>
            </w:r>
          </w:p>
          <w:p w14:paraId="663D5401" w14:textId="77777777" w:rsidR="00153C89" w:rsidRPr="00492E8A" w:rsidRDefault="00153C89" w:rsidP="0053482B">
            <w:pPr>
              <w:pStyle w:val="SSSBVerweis"/>
              <w:rPr>
                <w:b/>
                <w:bCs/>
                <w:i/>
                <w:iCs/>
              </w:rPr>
            </w:pPr>
          </w:p>
          <w:p w14:paraId="59CC9B94" w14:textId="77777777" w:rsidR="00153C89" w:rsidRDefault="00153C89" w:rsidP="0053482B">
            <w:pPr>
              <w:spacing w:line="280" w:lineRule="atLeast"/>
              <w:rPr>
                <w:lang w:val="de-DE"/>
              </w:rPr>
            </w:pPr>
            <w:r w:rsidRPr="00492E8A">
              <w:rPr>
                <w:b/>
                <w:bCs/>
                <w:i/>
                <w:iCs/>
              </w:rPr>
              <w:t>beschliesst</w:t>
            </w:r>
          </w:p>
        </w:tc>
        <w:tc>
          <w:tcPr>
            <w:tcW w:w="6731" w:type="dxa"/>
          </w:tcPr>
          <w:p w14:paraId="19796837" w14:textId="77777777" w:rsidR="00153C89" w:rsidRPr="0011259D" w:rsidRDefault="00153C89" w:rsidP="0053482B">
            <w:pPr>
              <w:spacing w:line="280" w:lineRule="atLeast"/>
              <w:rPr>
                <w:b/>
                <w:bCs/>
                <w:lang w:val="de-DE"/>
              </w:rPr>
            </w:pPr>
          </w:p>
          <w:p w14:paraId="619FCB96" w14:textId="77777777" w:rsidR="00153C89" w:rsidRPr="007D59EE" w:rsidRDefault="00153C89" w:rsidP="0053482B">
            <w:pPr>
              <w:spacing w:line="280" w:lineRule="atLeast"/>
              <w:rPr>
                <w:lang w:val="de-DE"/>
              </w:rPr>
            </w:pPr>
          </w:p>
        </w:tc>
      </w:tr>
      <w:tr w:rsidR="00153C89" w:rsidRPr="00C815A5" w14:paraId="00DD604A" w14:textId="77777777" w:rsidTr="00153C89">
        <w:trPr>
          <w:trHeight w:val="2206"/>
        </w:trPr>
        <w:tc>
          <w:tcPr>
            <w:tcW w:w="6736" w:type="dxa"/>
          </w:tcPr>
          <w:p w14:paraId="4E03A447" w14:textId="77777777" w:rsidR="00153C89" w:rsidRPr="00492E8A" w:rsidRDefault="00153C89" w:rsidP="0053482B">
            <w:pPr>
              <w:spacing w:before="240" w:line="288" w:lineRule="auto"/>
              <w:outlineLvl w:val="0"/>
              <w:rPr>
                <w:b/>
                <w:i/>
                <w:iCs/>
                <w:color w:val="000000"/>
              </w:rPr>
            </w:pPr>
            <w:r w:rsidRPr="00ED3159">
              <w:rPr>
                <w:b/>
                <w:color w:val="000000"/>
              </w:rPr>
              <w:lastRenderedPageBreak/>
              <w:t>1</w:t>
            </w:r>
            <w:r w:rsidRPr="00492E8A">
              <w:rPr>
                <w:b/>
                <w:i/>
                <w:iCs/>
                <w:color w:val="000000"/>
              </w:rPr>
              <w:t xml:space="preserve">.  Abschnitt: Allgemeine Bestimmungen </w:t>
            </w:r>
          </w:p>
          <w:p w14:paraId="7CC213F4" w14:textId="77777777" w:rsidR="00153C89" w:rsidRPr="00492E8A" w:rsidRDefault="00153C89" w:rsidP="0053482B">
            <w:pPr>
              <w:pStyle w:val="SSSBArtikel"/>
              <w:keepNext w:val="0"/>
              <w:outlineLvl w:val="0"/>
              <w:rPr>
                <w:b/>
                <w:bCs/>
                <w:i/>
                <w:iCs/>
              </w:rPr>
            </w:pPr>
            <w:r w:rsidRPr="00492E8A">
              <w:rPr>
                <w:b/>
                <w:bCs/>
                <w:i/>
                <w:iCs/>
              </w:rPr>
              <w:t>Art. </w:t>
            </w:r>
            <w:proofErr w:type="gramStart"/>
            <w:r w:rsidRPr="00492E8A">
              <w:rPr>
                <w:b/>
                <w:bCs/>
                <w:i/>
                <w:iCs/>
              </w:rPr>
              <w:t>1</w:t>
            </w:r>
            <w:r w:rsidRPr="00492E8A">
              <w:rPr>
                <w:i/>
                <w:iCs/>
              </w:rPr>
              <w:t>  </w:t>
            </w:r>
            <w:r w:rsidRPr="00492E8A">
              <w:rPr>
                <w:b/>
                <w:bCs/>
                <w:i/>
                <w:iCs/>
              </w:rPr>
              <w:t>Gegenstand</w:t>
            </w:r>
            <w:proofErr w:type="gramEnd"/>
            <w:r w:rsidRPr="00492E8A">
              <w:rPr>
                <w:b/>
                <w:bCs/>
                <w:i/>
                <w:iCs/>
              </w:rPr>
              <w:t xml:space="preserve"> und Zweck</w:t>
            </w:r>
          </w:p>
          <w:p w14:paraId="3C846184" w14:textId="77777777" w:rsidR="00153C89" w:rsidRPr="00492E8A" w:rsidRDefault="00153C89" w:rsidP="0053482B">
            <w:pPr>
              <w:pStyle w:val="SSSBAbsatz"/>
              <w:rPr>
                <w:b/>
                <w:bCs/>
                <w:i/>
                <w:iCs/>
              </w:rPr>
            </w:pPr>
            <w:r w:rsidRPr="00492E8A">
              <w:rPr>
                <w:b/>
                <w:bCs/>
                <w:i/>
                <w:iCs/>
                <w:position w:val="5"/>
                <w:sz w:val="18"/>
              </w:rPr>
              <w:t xml:space="preserve">1 </w:t>
            </w:r>
            <w:r w:rsidRPr="00492E8A">
              <w:rPr>
                <w:b/>
                <w:bCs/>
                <w:i/>
                <w:iCs/>
              </w:rPr>
              <w:t>Dieses Reglement regelt die Schulzahnmedizin in der Stadt Bern und schafft die rechtliche Grundlage für freiwillig übernommene Aufgaben im Bereich der Zahnprävention.</w:t>
            </w:r>
          </w:p>
          <w:p w14:paraId="3D9DD1C1" w14:textId="77777777" w:rsidR="00153C89" w:rsidRPr="00B93A83" w:rsidRDefault="00153C89" w:rsidP="0053482B">
            <w:pPr>
              <w:pStyle w:val="SSSBAbsatz"/>
            </w:pPr>
            <w:r w:rsidRPr="00492E8A">
              <w:rPr>
                <w:b/>
                <w:bCs/>
                <w:i/>
                <w:iCs/>
                <w:position w:val="5"/>
                <w:sz w:val="18"/>
              </w:rPr>
              <w:t xml:space="preserve">2 </w:t>
            </w:r>
            <w:r w:rsidRPr="00492E8A">
              <w:rPr>
                <w:b/>
                <w:bCs/>
                <w:i/>
                <w:iCs/>
              </w:rPr>
              <w:t>Es bezweckt die Gesunderhaltung der Kauorgane und deren kostengünstige Behandlung für Kinder und Jugendliche bis zum Ende der Schulpflicht.</w:t>
            </w:r>
          </w:p>
        </w:tc>
        <w:tc>
          <w:tcPr>
            <w:tcW w:w="6731" w:type="dxa"/>
          </w:tcPr>
          <w:p w14:paraId="6A84B9EB" w14:textId="77777777" w:rsidR="00153C89" w:rsidRPr="00C815A5" w:rsidRDefault="00153C89" w:rsidP="0053482B">
            <w:pPr>
              <w:spacing w:line="280" w:lineRule="atLeast"/>
              <w:rPr>
                <w:lang w:val="de-DE"/>
              </w:rPr>
            </w:pPr>
          </w:p>
        </w:tc>
      </w:tr>
      <w:tr w:rsidR="00153C89" w:rsidRPr="00C815A5" w14:paraId="02A39A76" w14:textId="77777777" w:rsidTr="00153C89">
        <w:trPr>
          <w:cnfStyle w:val="000000100000" w:firstRow="0" w:lastRow="0" w:firstColumn="0" w:lastColumn="0" w:oddVBand="0" w:evenVBand="0" w:oddHBand="1" w:evenHBand="0" w:firstRowFirstColumn="0" w:firstRowLastColumn="0" w:lastRowFirstColumn="0" w:lastRowLastColumn="0"/>
          <w:trHeight w:val="2206"/>
        </w:trPr>
        <w:tc>
          <w:tcPr>
            <w:tcW w:w="6736" w:type="dxa"/>
          </w:tcPr>
          <w:p w14:paraId="47C3AA49" w14:textId="77777777" w:rsidR="00153C89" w:rsidRPr="00492E8A" w:rsidRDefault="00153C89" w:rsidP="0053482B">
            <w:pPr>
              <w:pStyle w:val="SSSBArtikel"/>
              <w:outlineLvl w:val="0"/>
              <w:rPr>
                <w:b/>
                <w:bCs/>
                <w:i/>
                <w:iCs/>
              </w:rPr>
            </w:pPr>
            <w:r w:rsidRPr="00492E8A">
              <w:rPr>
                <w:b/>
                <w:bCs/>
                <w:i/>
                <w:iCs/>
              </w:rPr>
              <w:t>Art. </w:t>
            </w:r>
            <w:proofErr w:type="gramStart"/>
            <w:r w:rsidRPr="00492E8A">
              <w:rPr>
                <w:b/>
                <w:bCs/>
                <w:i/>
                <w:iCs/>
              </w:rPr>
              <w:t>2</w:t>
            </w:r>
            <w:r w:rsidRPr="00492E8A">
              <w:rPr>
                <w:i/>
                <w:iCs/>
              </w:rPr>
              <w:t>  </w:t>
            </w:r>
            <w:r w:rsidRPr="00492E8A">
              <w:rPr>
                <w:b/>
                <w:bCs/>
                <w:i/>
                <w:iCs/>
              </w:rPr>
              <w:t>Aufgaben</w:t>
            </w:r>
            <w:proofErr w:type="gramEnd"/>
            <w:r w:rsidRPr="00492E8A">
              <w:rPr>
                <w:b/>
                <w:bCs/>
                <w:i/>
                <w:iCs/>
              </w:rPr>
              <w:t xml:space="preserve"> der Schulzahnmedizin</w:t>
            </w:r>
          </w:p>
          <w:p w14:paraId="38687D3A" w14:textId="77777777" w:rsidR="00153C89" w:rsidRPr="00492E8A" w:rsidRDefault="00153C89" w:rsidP="0053482B">
            <w:pPr>
              <w:pStyle w:val="SSSBAbsatz"/>
              <w:rPr>
                <w:b/>
                <w:bCs/>
                <w:i/>
                <w:iCs/>
                <w:position w:val="5"/>
              </w:rPr>
            </w:pPr>
            <w:r w:rsidRPr="00492E8A">
              <w:rPr>
                <w:b/>
                <w:bCs/>
                <w:i/>
                <w:iCs/>
                <w:position w:val="5"/>
                <w:sz w:val="28"/>
                <w:szCs w:val="28"/>
                <w:vertAlign w:val="superscript"/>
              </w:rPr>
              <w:t xml:space="preserve">1 </w:t>
            </w:r>
            <w:r w:rsidRPr="00492E8A">
              <w:rPr>
                <w:b/>
                <w:bCs/>
                <w:i/>
                <w:iCs/>
                <w:position w:val="5"/>
              </w:rPr>
              <w:t>Die städtische Schulzahnmedizin nach den Vorgaben des kantonalen Rechts umfasst folgende Bereiche, die sich an Schulpflichtige in der Stadt Bern (Stadt) richten:</w:t>
            </w:r>
          </w:p>
          <w:p w14:paraId="1B98DCAF" w14:textId="77777777" w:rsidR="00153C89" w:rsidRPr="00492E8A" w:rsidRDefault="00153C89" w:rsidP="00153C89">
            <w:pPr>
              <w:pStyle w:val="SSSBBuchstabe"/>
              <w:numPr>
                <w:ilvl w:val="0"/>
                <w:numId w:val="16"/>
              </w:numPr>
              <w:rPr>
                <w:b/>
                <w:bCs/>
                <w:i/>
                <w:iCs/>
              </w:rPr>
            </w:pPr>
            <w:r w:rsidRPr="00492E8A">
              <w:rPr>
                <w:b/>
                <w:bCs/>
                <w:i/>
                <w:iCs/>
              </w:rPr>
              <w:t>Jährliche Kontrolluntersuchung für Schulpflichtige der öffentlichen und privaten Volksschule durch zugelassene Zahnärztinnen und Zahnärzte oder unter deren fachlicher Aufsicht</w:t>
            </w:r>
            <w:bookmarkStart w:id="0" w:name="_Hlk189642748"/>
            <w:r w:rsidRPr="00492E8A">
              <w:rPr>
                <w:b/>
                <w:bCs/>
                <w:i/>
                <w:iCs/>
              </w:rPr>
              <w:t>;</w:t>
            </w:r>
          </w:p>
          <w:p w14:paraId="5256EB68" w14:textId="77777777" w:rsidR="00153C89" w:rsidRPr="00492E8A" w:rsidRDefault="00153C89" w:rsidP="00153C89">
            <w:pPr>
              <w:pStyle w:val="SSSBBuchstabe"/>
              <w:numPr>
                <w:ilvl w:val="0"/>
                <w:numId w:val="16"/>
              </w:numPr>
              <w:rPr>
                <w:b/>
                <w:bCs/>
                <w:i/>
                <w:iCs/>
              </w:rPr>
            </w:pPr>
            <w:bookmarkStart w:id="1" w:name="_Hlk189064471"/>
            <w:r w:rsidRPr="00492E8A">
              <w:rPr>
                <w:b/>
                <w:bCs/>
                <w:i/>
                <w:iCs/>
              </w:rPr>
              <w:t>einfache und zweckmässige Behandlung erkrankter Kauorgane sowie von Zahn- und Kieferstellungsanomalien</w:t>
            </w:r>
            <w:bookmarkEnd w:id="1"/>
            <w:r w:rsidRPr="00492E8A">
              <w:rPr>
                <w:b/>
                <w:bCs/>
                <w:i/>
                <w:iCs/>
              </w:rPr>
              <w:t>;</w:t>
            </w:r>
          </w:p>
          <w:p w14:paraId="6B91D9B5" w14:textId="77777777" w:rsidR="00153C89" w:rsidRPr="00492E8A" w:rsidRDefault="00153C89" w:rsidP="00153C89">
            <w:pPr>
              <w:pStyle w:val="SSSBBuchstabe"/>
              <w:numPr>
                <w:ilvl w:val="0"/>
                <w:numId w:val="16"/>
              </w:numPr>
              <w:rPr>
                <w:b/>
                <w:bCs/>
                <w:i/>
                <w:iCs/>
              </w:rPr>
            </w:pPr>
            <w:bookmarkStart w:id="2" w:name="_Hlk190265247"/>
            <w:r w:rsidRPr="00492E8A">
              <w:rPr>
                <w:b/>
                <w:bCs/>
                <w:i/>
                <w:iCs/>
              </w:rPr>
              <w:t>Unterstützung der öffentlichen Volksschule bei der regelmässigen Prophylaxe durch Fachpersonal</w:t>
            </w:r>
            <w:bookmarkEnd w:id="2"/>
            <w:r w:rsidRPr="00492E8A">
              <w:rPr>
                <w:b/>
                <w:bCs/>
                <w:i/>
                <w:iCs/>
              </w:rPr>
              <w:t xml:space="preserve">. </w:t>
            </w:r>
            <w:bookmarkStart w:id="3" w:name="_Hlk190265415"/>
            <w:r w:rsidRPr="00492E8A">
              <w:rPr>
                <w:b/>
                <w:bCs/>
                <w:i/>
                <w:iCs/>
              </w:rPr>
              <w:t xml:space="preserve">Trägerschaften der privaten </w:t>
            </w:r>
            <w:bookmarkEnd w:id="3"/>
            <w:r w:rsidRPr="00492E8A">
              <w:rPr>
                <w:b/>
                <w:bCs/>
                <w:i/>
                <w:iCs/>
              </w:rPr>
              <w:t>Volksschule können bei der Prophylaxe unterstützt werden.</w:t>
            </w:r>
          </w:p>
          <w:bookmarkEnd w:id="0"/>
          <w:p w14:paraId="5559E84B" w14:textId="77777777" w:rsidR="00153C89" w:rsidRPr="00B93A83" w:rsidRDefault="00153C89" w:rsidP="0053482B">
            <w:pPr>
              <w:pStyle w:val="SSSBAbsatz"/>
            </w:pPr>
            <w:r w:rsidRPr="00492E8A">
              <w:rPr>
                <w:b/>
                <w:bCs/>
                <w:i/>
                <w:iCs/>
                <w:position w:val="5"/>
                <w:sz w:val="18"/>
              </w:rPr>
              <w:t>2</w:t>
            </w:r>
            <w:r w:rsidRPr="00492E8A">
              <w:rPr>
                <w:b/>
                <w:bCs/>
                <w:i/>
                <w:iCs/>
              </w:rPr>
              <w:t> Die städtische Schulzahnmedizin und die Volksschule arbeiten zur Erfüllung der Aufgaben zusammen.</w:t>
            </w:r>
          </w:p>
        </w:tc>
        <w:tc>
          <w:tcPr>
            <w:tcW w:w="6731" w:type="dxa"/>
          </w:tcPr>
          <w:p w14:paraId="753162AE" w14:textId="77777777" w:rsidR="00153C89" w:rsidRPr="00C815A5" w:rsidRDefault="00153C89" w:rsidP="0053482B">
            <w:pPr>
              <w:spacing w:line="280" w:lineRule="atLeast"/>
              <w:rPr>
                <w:lang w:val="de-DE"/>
              </w:rPr>
            </w:pPr>
          </w:p>
        </w:tc>
      </w:tr>
      <w:tr w:rsidR="00153C89" w:rsidRPr="00C815A5" w14:paraId="08EBE3FC" w14:textId="77777777" w:rsidTr="00153C89">
        <w:tc>
          <w:tcPr>
            <w:tcW w:w="6736" w:type="dxa"/>
          </w:tcPr>
          <w:p w14:paraId="59694E0C" w14:textId="77777777" w:rsidR="00153C89" w:rsidRPr="00492E8A" w:rsidRDefault="00153C89" w:rsidP="0053482B">
            <w:pPr>
              <w:pStyle w:val="SSSBArtikel"/>
              <w:keepNext w:val="0"/>
              <w:outlineLvl w:val="0"/>
              <w:rPr>
                <w:i/>
                <w:iCs/>
              </w:rPr>
            </w:pPr>
            <w:r w:rsidRPr="00492E8A">
              <w:rPr>
                <w:b/>
                <w:bCs/>
                <w:i/>
                <w:iCs/>
              </w:rPr>
              <w:t>Art. </w:t>
            </w:r>
            <w:proofErr w:type="gramStart"/>
            <w:r w:rsidRPr="00492E8A">
              <w:rPr>
                <w:b/>
                <w:bCs/>
                <w:i/>
                <w:iCs/>
              </w:rPr>
              <w:t>3</w:t>
            </w:r>
            <w:r w:rsidRPr="00492E8A">
              <w:rPr>
                <w:i/>
                <w:iCs/>
              </w:rPr>
              <w:t>  </w:t>
            </w:r>
            <w:r w:rsidRPr="00492E8A">
              <w:rPr>
                <w:b/>
                <w:bCs/>
                <w:i/>
                <w:iCs/>
              </w:rPr>
              <w:t>Weitere</w:t>
            </w:r>
            <w:proofErr w:type="gramEnd"/>
            <w:r w:rsidRPr="00492E8A">
              <w:rPr>
                <w:b/>
                <w:bCs/>
                <w:i/>
                <w:iCs/>
              </w:rPr>
              <w:t xml:space="preserve"> Aufgaben</w:t>
            </w:r>
            <w:r w:rsidRPr="00492E8A">
              <w:rPr>
                <w:i/>
                <w:iCs/>
              </w:rPr>
              <w:t xml:space="preserve"> </w:t>
            </w:r>
          </w:p>
          <w:p w14:paraId="37E41082" w14:textId="77777777" w:rsidR="00153C89" w:rsidRPr="00492E8A" w:rsidRDefault="00153C89" w:rsidP="0053482B">
            <w:pPr>
              <w:pStyle w:val="SSSBAbsatz"/>
              <w:rPr>
                <w:b/>
                <w:bCs/>
                <w:i/>
                <w:iCs/>
              </w:rPr>
            </w:pPr>
            <w:r w:rsidRPr="00492E8A">
              <w:rPr>
                <w:b/>
                <w:bCs/>
                <w:i/>
                <w:iCs/>
                <w:position w:val="5"/>
                <w:sz w:val="18"/>
              </w:rPr>
              <w:lastRenderedPageBreak/>
              <w:t>1</w:t>
            </w:r>
            <w:r w:rsidRPr="00492E8A">
              <w:rPr>
                <w:i/>
                <w:iCs/>
              </w:rPr>
              <w:t> </w:t>
            </w:r>
            <w:r w:rsidRPr="00492E8A">
              <w:rPr>
                <w:b/>
                <w:bCs/>
                <w:i/>
                <w:iCs/>
              </w:rPr>
              <w:t xml:space="preserve">Die Stadt bietet eine </w:t>
            </w:r>
            <w:bookmarkStart w:id="4" w:name="_Hlk169511658"/>
            <w:bookmarkStart w:id="5" w:name="_Hlk189060906"/>
            <w:r w:rsidRPr="00492E8A">
              <w:rPr>
                <w:b/>
                <w:bCs/>
                <w:i/>
                <w:iCs/>
              </w:rPr>
              <w:t>freiwillige Frühberatung zu Präventionsthemen wie Mundhygiene, Ernährung, Fluoridierung und kieferorthopädisch relevanten Gewohnheiten (Schnuller- und Daumenlutschen) für vorschulpflichtige Kinder ab drei Jahren mit Wohnsitz in der Stadt Bern an. Die Frühberatung kann auch eine Untersuchung auf Karies und Fehlstellung der Zähne zum Gegenstand haben.</w:t>
            </w:r>
          </w:p>
          <w:p w14:paraId="435A1628" w14:textId="77777777" w:rsidR="00153C89" w:rsidRPr="00492E8A" w:rsidRDefault="00153C89" w:rsidP="0053482B">
            <w:pPr>
              <w:pStyle w:val="SSSBAbsatz"/>
              <w:rPr>
                <w:i/>
                <w:iCs/>
              </w:rPr>
            </w:pPr>
            <w:r w:rsidRPr="00492E8A">
              <w:rPr>
                <w:b/>
                <w:bCs/>
                <w:i/>
                <w:iCs/>
                <w:position w:val="5"/>
                <w:sz w:val="18"/>
              </w:rPr>
              <w:t>2</w:t>
            </w:r>
            <w:r w:rsidRPr="00492E8A">
              <w:rPr>
                <w:i/>
                <w:iCs/>
              </w:rPr>
              <w:t> </w:t>
            </w:r>
            <w:r w:rsidRPr="00492E8A">
              <w:rPr>
                <w:b/>
                <w:bCs/>
                <w:i/>
                <w:iCs/>
              </w:rPr>
              <w:t>Die Stadt kann Massnahmen zur Kariesprävention in Zusammenarbeit mit öffentlichen und privaten Stellen im Kinder- und Jugendbereich durchführen.</w:t>
            </w:r>
            <w:bookmarkEnd w:id="4"/>
            <w:bookmarkEnd w:id="5"/>
          </w:p>
        </w:tc>
        <w:tc>
          <w:tcPr>
            <w:tcW w:w="6731" w:type="dxa"/>
          </w:tcPr>
          <w:p w14:paraId="7210C895" w14:textId="77777777" w:rsidR="00153C89" w:rsidRPr="00C815A5" w:rsidRDefault="00153C89" w:rsidP="0053482B">
            <w:pPr>
              <w:spacing w:line="280" w:lineRule="atLeast"/>
              <w:rPr>
                <w:lang w:val="de-DE"/>
              </w:rPr>
            </w:pPr>
          </w:p>
        </w:tc>
      </w:tr>
      <w:tr w:rsidR="00153C89" w:rsidRPr="00C815A5" w14:paraId="039FEEAC" w14:textId="77777777" w:rsidTr="00153C89">
        <w:trPr>
          <w:cnfStyle w:val="000000100000" w:firstRow="0" w:lastRow="0" w:firstColumn="0" w:lastColumn="0" w:oddVBand="0" w:evenVBand="0" w:oddHBand="1" w:evenHBand="0" w:firstRowFirstColumn="0" w:firstRowLastColumn="0" w:lastRowFirstColumn="0" w:lastRowLastColumn="0"/>
        </w:trPr>
        <w:tc>
          <w:tcPr>
            <w:tcW w:w="6736" w:type="dxa"/>
          </w:tcPr>
          <w:p w14:paraId="5C95E4BB" w14:textId="77777777" w:rsidR="00153C89" w:rsidRPr="00492E8A" w:rsidRDefault="00153C89" w:rsidP="0053482B">
            <w:pPr>
              <w:pStyle w:val="SSSBArtikel"/>
              <w:keepNext w:val="0"/>
              <w:outlineLvl w:val="0"/>
              <w:rPr>
                <w:i/>
                <w:iCs/>
              </w:rPr>
            </w:pPr>
            <w:r w:rsidRPr="00492E8A">
              <w:rPr>
                <w:b/>
                <w:bCs/>
                <w:i/>
                <w:iCs/>
              </w:rPr>
              <w:t>Art. </w:t>
            </w:r>
            <w:proofErr w:type="gramStart"/>
            <w:r w:rsidRPr="00492E8A">
              <w:rPr>
                <w:b/>
                <w:bCs/>
                <w:i/>
                <w:iCs/>
              </w:rPr>
              <w:t>4</w:t>
            </w:r>
            <w:r w:rsidRPr="00492E8A">
              <w:rPr>
                <w:i/>
                <w:iCs/>
              </w:rPr>
              <w:t>  </w:t>
            </w:r>
            <w:r w:rsidRPr="00492E8A">
              <w:rPr>
                <w:b/>
                <w:bCs/>
                <w:i/>
                <w:iCs/>
              </w:rPr>
              <w:t>Übertragung</w:t>
            </w:r>
            <w:proofErr w:type="gramEnd"/>
            <w:r w:rsidRPr="00492E8A">
              <w:rPr>
                <w:b/>
                <w:bCs/>
                <w:i/>
                <w:iCs/>
              </w:rPr>
              <w:t xml:space="preserve"> </w:t>
            </w:r>
          </w:p>
          <w:p w14:paraId="7D74BDE2" w14:textId="77777777" w:rsidR="00153C89" w:rsidRPr="00492E8A" w:rsidRDefault="00153C89" w:rsidP="0053482B">
            <w:pPr>
              <w:pStyle w:val="SSSBAbsatz"/>
              <w:rPr>
                <w:i/>
                <w:iCs/>
              </w:rPr>
            </w:pPr>
            <w:bookmarkStart w:id="6" w:name="_Hlk189499452"/>
            <w:r w:rsidRPr="00492E8A">
              <w:rPr>
                <w:b/>
                <w:bCs/>
                <w:i/>
                <w:iCs/>
                <w:position w:val="5"/>
                <w:sz w:val="18"/>
              </w:rPr>
              <w:t>1 </w:t>
            </w:r>
            <w:bookmarkEnd w:id="6"/>
            <w:r w:rsidRPr="00492E8A">
              <w:rPr>
                <w:b/>
                <w:bCs/>
                <w:i/>
                <w:iCs/>
              </w:rPr>
              <w:t>Die Aufgaben nach Artikel 2 und 3 können vertraglich ganz oder teilweise auf Dritte übertragen werden. Eine Weiterübertragung einzelner Aufgaben ist mit Zustimmung des Gemeinderats möglich.</w:t>
            </w:r>
          </w:p>
          <w:p w14:paraId="02A59326" w14:textId="77777777" w:rsidR="00153C89" w:rsidRPr="00492E8A" w:rsidRDefault="00153C89" w:rsidP="0053482B">
            <w:pPr>
              <w:pStyle w:val="SSSBAbsatz"/>
              <w:rPr>
                <w:i/>
                <w:iCs/>
              </w:rPr>
            </w:pPr>
            <w:r w:rsidRPr="00492E8A">
              <w:rPr>
                <w:b/>
                <w:bCs/>
                <w:i/>
                <w:iCs/>
                <w:position w:val="5"/>
                <w:sz w:val="18"/>
              </w:rPr>
              <w:t>2</w:t>
            </w:r>
            <w:r w:rsidRPr="00492E8A">
              <w:rPr>
                <w:i/>
                <w:iCs/>
              </w:rPr>
              <w:t> </w:t>
            </w:r>
            <w:r w:rsidRPr="00492E8A">
              <w:rPr>
                <w:b/>
                <w:bCs/>
                <w:i/>
                <w:iCs/>
              </w:rPr>
              <w:t>Im Vertrag sind insbesondere zu regeln</w:t>
            </w:r>
            <w:r w:rsidRPr="00492E8A">
              <w:rPr>
                <w:i/>
                <w:iCs/>
              </w:rPr>
              <w:t>:</w:t>
            </w:r>
          </w:p>
          <w:p w14:paraId="250AB8A7" w14:textId="77777777" w:rsidR="00153C89" w:rsidRPr="00492E8A" w:rsidRDefault="00153C89" w:rsidP="00153C89">
            <w:pPr>
              <w:pStyle w:val="SSSBBuchstabe"/>
              <w:numPr>
                <w:ilvl w:val="0"/>
                <w:numId w:val="17"/>
              </w:numPr>
              <w:rPr>
                <w:b/>
                <w:bCs/>
                <w:i/>
                <w:iCs/>
              </w:rPr>
            </w:pPr>
            <w:r w:rsidRPr="00492E8A">
              <w:rPr>
                <w:b/>
                <w:bCs/>
                <w:i/>
                <w:iCs/>
              </w:rPr>
              <w:t>Der Standort/die Standorte des Betriebs für Behandlungen, Kontrolluntersuchungen und Frühberatung;</w:t>
            </w:r>
          </w:p>
          <w:p w14:paraId="275A99B7" w14:textId="77777777" w:rsidR="00153C89" w:rsidRPr="00492E8A" w:rsidRDefault="00153C89" w:rsidP="00153C89">
            <w:pPr>
              <w:pStyle w:val="SSSBBuchstabe"/>
              <w:numPr>
                <w:ilvl w:val="0"/>
                <w:numId w:val="17"/>
              </w:numPr>
              <w:rPr>
                <w:b/>
                <w:bCs/>
                <w:i/>
                <w:iCs/>
              </w:rPr>
            </w:pPr>
            <w:r w:rsidRPr="00492E8A">
              <w:rPr>
                <w:b/>
                <w:bCs/>
                <w:i/>
                <w:iCs/>
              </w:rPr>
              <w:t>die Öffnungszeiten des Dritten;</w:t>
            </w:r>
          </w:p>
          <w:p w14:paraId="59C7D10E" w14:textId="77777777" w:rsidR="00153C89" w:rsidRPr="00492E8A" w:rsidRDefault="00153C89" w:rsidP="00153C89">
            <w:pPr>
              <w:pStyle w:val="SSSBBuchstabe"/>
              <w:numPr>
                <w:ilvl w:val="0"/>
                <w:numId w:val="17"/>
              </w:numPr>
              <w:rPr>
                <w:b/>
                <w:bCs/>
                <w:i/>
                <w:iCs/>
              </w:rPr>
            </w:pPr>
            <w:r w:rsidRPr="00492E8A">
              <w:rPr>
                <w:b/>
                <w:bCs/>
                <w:i/>
                <w:iCs/>
              </w:rPr>
              <w:t>der Hinweis auf den städtischen Bezug der Schulzahnmedizin im Auftritt des Dritten;</w:t>
            </w:r>
          </w:p>
          <w:p w14:paraId="61ABDC2D" w14:textId="77777777" w:rsidR="00153C89" w:rsidRPr="00492E8A" w:rsidRDefault="00153C89" w:rsidP="00153C89">
            <w:pPr>
              <w:pStyle w:val="SSSBBuchstabe"/>
              <w:numPr>
                <w:ilvl w:val="0"/>
                <w:numId w:val="17"/>
              </w:numPr>
              <w:rPr>
                <w:b/>
                <w:bCs/>
                <w:i/>
                <w:iCs/>
              </w:rPr>
            </w:pPr>
            <w:r w:rsidRPr="00492E8A">
              <w:rPr>
                <w:b/>
                <w:bCs/>
                <w:i/>
                <w:iCs/>
              </w:rPr>
              <w:t>der Tarif für die jährliche Kontrolluntersuchung;</w:t>
            </w:r>
          </w:p>
          <w:p w14:paraId="192A9F3D" w14:textId="77777777" w:rsidR="00153C89" w:rsidRPr="00492E8A" w:rsidRDefault="00153C89" w:rsidP="00153C89">
            <w:pPr>
              <w:pStyle w:val="SSSBBuchstabe"/>
              <w:numPr>
                <w:ilvl w:val="0"/>
                <w:numId w:val="17"/>
              </w:numPr>
              <w:rPr>
                <w:b/>
                <w:bCs/>
                <w:i/>
                <w:iCs/>
              </w:rPr>
            </w:pPr>
            <w:r w:rsidRPr="00492E8A">
              <w:rPr>
                <w:b/>
                <w:bCs/>
                <w:i/>
                <w:iCs/>
              </w:rPr>
              <w:t>der Tarif für Behandlungen (Art. 8);</w:t>
            </w:r>
          </w:p>
          <w:p w14:paraId="132BA86D" w14:textId="77777777" w:rsidR="00153C89" w:rsidRPr="00492E8A" w:rsidRDefault="00153C89" w:rsidP="00153C89">
            <w:pPr>
              <w:pStyle w:val="SSSBBuchstabe"/>
              <w:numPr>
                <w:ilvl w:val="0"/>
                <w:numId w:val="17"/>
              </w:numPr>
              <w:rPr>
                <w:b/>
                <w:bCs/>
                <w:i/>
                <w:iCs/>
              </w:rPr>
            </w:pPr>
            <w:r w:rsidRPr="00492E8A">
              <w:rPr>
                <w:b/>
                <w:bCs/>
                <w:i/>
                <w:iCs/>
              </w:rPr>
              <w:t>die Debitorenbewirtschaftung (Artikel 7 Absatz 3);</w:t>
            </w:r>
          </w:p>
          <w:p w14:paraId="0CE91918" w14:textId="77777777" w:rsidR="00153C89" w:rsidRPr="00492E8A" w:rsidRDefault="00153C89" w:rsidP="00153C89">
            <w:pPr>
              <w:pStyle w:val="SSSBBuchstabe"/>
              <w:numPr>
                <w:ilvl w:val="0"/>
                <w:numId w:val="17"/>
              </w:numPr>
              <w:rPr>
                <w:b/>
                <w:bCs/>
                <w:i/>
                <w:iCs/>
              </w:rPr>
            </w:pPr>
            <w:r w:rsidRPr="00492E8A">
              <w:rPr>
                <w:b/>
                <w:bCs/>
                <w:i/>
                <w:iCs/>
              </w:rPr>
              <w:t>die Durchsetzung der obligatorischen Kontrolluntersuchung;</w:t>
            </w:r>
          </w:p>
          <w:p w14:paraId="657469BC" w14:textId="77777777" w:rsidR="00153C89" w:rsidRPr="00492E8A" w:rsidRDefault="00153C89" w:rsidP="00153C89">
            <w:pPr>
              <w:pStyle w:val="SSSBBuchstabe"/>
              <w:numPr>
                <w:ilvl w:val="0"/>
                <w:numId w:val="17"/>
              </w:numPr>
              <w:rPr>
                <w:i/>
                <w:iCs/>
              </w:rPr>
            </w:pPr>
            <w:r w:rsidRPr="00492E8A">
              <w:rPr>
                <w:b/>
                <w:bCs/>
                <w:i/>
                <w:iCs/>
              </w:rPr>
              <w:t>das periodische Reporting zu den übertragenen Aufgaben.</w:t>
            </w:r>
          </w:p>
        </w:tc>
        <w:tc>
          <w:tcPr>
            <w:tcW w:w="6731" w:type="dxa"/>
          </w:tcPr>
          <w:p w14:paraId="3E093E18" w14:textId="77777777" w:rsidR="00153C89" w:rsidRPr="00C815A5" w:rsidRDefault="00153C89" w:rsidP="0053482B">
            <w:pPr>
              <w:spacing w:line="280" w:lineRule="atLeast"/>
              <w:rPr>
                <w:lang w:val="de-DE"/>
              </w:rPr>
            </w:pPr>
          </w:p>
        </w:tc>
      </w:tr>
      <w:tr w:rsidR="00153C89" w:rsidRPr="00C815A5" w14:paraId="1E7595BE" w14:textId="77777777" w:rsidTr="00153C89">
        <w:trPr>
          <w:trHeight w:val="2065"/>
        </w:trPr>
        <w:tc>
          <w:tcPr>
            <w:tcW w:w="6736" w:type="dxa"/>
          </w:tcPr>
          <w:p w14:paraId="2993E8B2" w14:textId="77777777" w:rsidR="00153C89" w:rsidRPr="00492E8A" w:rsidRDefault="00153C89" w:rsidP="0053482B">
            <w:pPr>
              <w:pStyle w:val="SSSBAbsatz"/>
              <w:spacing w:before="240"/>
              <w:rPr>
                <w:b/>
                <w:bCs/>
                <w:i/>
                <w:iCs/>
              </w:rPr>
            </w:pPr>
            <w:r w:rsidRPr="00492E8A">
              <w:rPr>
                <w:b/>
                <w:bCs/>
                <w:i/>
                <w:iCs/>
              </w:rPr>
              <w:lastRenderedPageBreak/>
              <w:t>Art. </w:t>
            </w:r>
            <w:proofErr w:type="gramStart"/>
            <w:r w:rsidRPr="00492E8A">
              <w:rPr>
                <w:b/>
                <w:bCs/>
                <w:i/>
                <w:iCs/>
              </w:rPr>
              <w:t>5</w:t>
            </w:r>
            <w:r w:rsidRPr="00492E8A">
              <w:rPr>
                <w:i/>
                <w:iCs/>
              </w:rPr>
              <w:t>  </w:t>
            </w:r>
            <w:r w:rsidRPr="00492E8A">
              <w:rPr>
                <w:b/>
                <w:bCs/>
                <w:i/>
                <w:iCs/>
              </w:rPr>
              <w:t>Jährliche</w:t>
            </w:r>
            <w:proofErr w:type="gramEnd"/>
            <w:r w:rsidRPr="00492E8A">
              <w:rPr>
                <w:b/>
                <w:bCs/>
                <w:i/>
                <w:iCs/>
              </w:rPr>
              <w:t xml:space="preserve"> Kontrolluntersuchung </w:t>
            </w:r>
          </w:p>
          <w:p w14:paraId="2A52AE96" w14:textId="77777777" w:rsidR="00153C89" w:rsidRPr="00492E8A" w:rsidRDefault="00153C89" w:rsidP="0053482B">
            <w:pPr>
              <w:pStyle w:val="SSSBAbsatz"/>
              <w:rPr>
                <w:b/>
                <w:bCs/>
                <w:i/>
                <w:iCs/>
              </w:rPr>
            </w:pPr>
            <w:r w:rsidRPr="00492E8A">
              <w:rPr>
                <w:b/>
                <w:bCs/>
                <w:i/>
                <w:iCs/>
                <w:position w:val="5"/>
                <w:sz w:val="18"/>
              </w:rPr>
              <w:t>1</w:t>
            </w:r>
            <w:r w:rsidRPr="00492E8A">
              <w:rPr>
                <w:b/>
                <w:bCs/>
                <w:i/>
                <w:iCs/>
              </w:rPr>
              <w:t> Die jährliche Kontrolluntersuchung ist für die Schulpflichtigen der öffentlichen und privaten Volksschule in der Stadt Bern obligatorisch.</w:t>
            </w:r>
          </w:p>
          <w:p w14:paraId="410073A1" w14:textId="77777777" w:rsidR="00153C89" w:rsidRPr="00492E8A" w:rsidRDefault="00153C89" w:rsidP="0053482B">
            <w:pPr>
              <w:pStyle w:val="SSSBAbsatz"/>
              <w:rPr>
                <w:i/>
                <w:iCs/>
              </w:rPr>
            </w:pPr>
            <w:r w:rsidRPr="00492E8A">
              <w:rPr>
                <w:b/>
                <w:bCs/>
                <w:i/>
                <w:iCs/>
                <w:position w:val="5"/>
                <w:sz w:val="18"/>
              </w:rPr>
              <w:t>2</w:t>
            </w:r>
            <w:r w:rsidRPr="00492E8A">
              <w:rPr>
                <w:b/>
                <w:bCs/>
                <w:i/>
                <w:iCs/>
              </w:rPr>
              <w:t> Die Eltern können die Kontrolluntersuchung durch private Zahnärztinnen und Zahnärzte durchführen lassen.</w:t>
            </w:r>
          </w:p>
        </w:tc>
        <w:tc>
          <w:tcPr>
            <w:tcW w:w="6731" w:type="dxa"/>
          </w:tcPr>
          <w:p w14:paraId="4960B7BC" w14:textId="77777777" w:rsidR="00153C89" w:rsidRPr="00C815A5" w:rsidRDefault="00153C89" w:rsidP="0053482B">
            <w:pPr>
              <w:spacing w:line="280" w:lineRule="atLeast"/>
              <w:rPr>
                <w:lang w:val="de-DE"/>
              </w:rPr>
            </w:pPr>
          </w:p>
        </w:tc>
      </w:tr>
      <w:tr w:rsidR="00153C89" w:rsidRPr="00C815A5" w14:paraId="49A0F58C" w14:textId="77777777" w:rsidTr="00153C89">
        <w:trPr>
          <w:cnfStyle w:val="000000100000" w:firstRow="0" w:lastRow="0" w:firstColumn="0" w:lastColumn="0" w:oddVBand="0" w:evenVBand="0" w:oddHBand="1" w:evenHBand="0" w:firstRowFirstColumn="0" w:firstRowLastColumn="0" w:lastRowFirstColumn="0" w:lastRowLastColumn="0"/>
          <w:trHeight w:val="1533"/>
        </w:trPr>
        <w:tc>
          <w:tcPr>
            <w:tcW w:w="6736" w:type="dxa"/>
          </w:tcPr>
          <w:p w14:paraId="1FFE69D3" w14:textId="77777777" w:rsidR="00153C89" w:rsidRPr="00EA02CA" w:rsidRDefault="00153C89" w:rsidP="00EA02CA">
            <w:pPr>
              <w:pStyle w:val="SSSBAbsatz"/>
              <w:spacing w:before="240"/>
              <w:rPr>
                <w:b/>
                <w:bCs/>
                <w:i/>
                <w:iCs/>
              </w:rPr>
            </w:pPr>
            <w:r w:rsidRPr="00EA02CA">
              <w:rPr>
                <w:b/>
                <w:bCs/>
                <w:i/>
                <w:iCs/>
              </w:rPr>
              <w:t xml:space="preserve">2.  Abschnitt: Kosten </w:t>
            </w:r>
          </w:p>
          <w:p w14:paraId="7E2E8848" w14:textId="77777777" w:rsidR="00153C89" w:rsidRPr="00492E8A" w:rsidRDefault="00153C89" w:rsidP="0053482B">
            <w:pPr>
              <w:pStyle w:val="SSSBAbsatz"/>
              <w:spacing w:before="240"/>
              <w:rPr>
                <w:b/>
                <w:bCs/>
                <w:i/>
                <w:iCs/>
              </w:rPr>
            </w:pPr>
            <w:r w:rsidRPr="00492E8A">
              <w:rPr>
                <w:b/>
                <w:bCs/>
                <w:i/>
                <w:iCs/>
              </w:rPr>
              <w:t>Art. </w:t>
            </w:r>
            <w:proofErr w:type="gramStart"/>
            <w:r w:rsidRPr="00492E8A">
              <w:rPr>
                <w:b/>
                <w:bCs/>
                <w:i/>
                <w:iCs/>
              </w:rPr>
              <w:t>6</w:t>
            </w:r>
            <w:r w:rsidRPr="00492E8A">
              <w:rPr>
                <w:i/>
                <w:iCs/>
              </w:rPr>
              <w:t>  </w:t>
            </w:r>
            <w:r w:rsidRPr="00492E8A">
              <w:rPr>
                <w:b/>
                <w:bCs/>
                <w:i/>
                <w:iCs/>
              </w:rPr>
              <w:t>Kosten</w:t>
            </w:r>
            <w:proofErr w:type="gramEnd"/>
            <w:r w:rsidRPr="00492E8A">
              <w:rPr>
                <w:b/>
                <w:bCs/>
                <w:i/>
                <w:iCs/>
              </w:rPr>
              <w:t xml:space="preserve"> Frühberatung</w:t>
            </w:r>
          </w:p>
          <w:p w14:paraId="5A2F410B" w14:textId="77777777" w:rsidR="00153C89" w:rsidRPr="00492E8A" w:rsidRDefault="00153C89" w:rsidP="0053482B">
            <w:pPr>
              <w:pStyle w:val="SSSBAbsatz"/>
              <w:rPr>
                <w:i/>
                <w:iCs/>
              </w:rPr>
            </w:pPr>
            <w:r w:rsidRPr="00492E8A">
              <w:rPr>
                <w:b/>
                <w:bCs/>
                <w:i/>
                <w:iCs/>
              </w:rPr>
              <w:t>Die Frühberatung nach Artikel 3 Absatz 1 ist kostenlos.</w:t>
            </w:r>
          </w:p>
        </w:tc>
        <w:tc>
          <w:tcPr>
            <w:tcW w:w="6731" w:type="dxa"/>
          </w:tcPr>
          <w:p w14:paraId="61DF2BD2" w14:textId="77777777" w:rsidR="00153C89" w:rsidRPr="00C815A5" w:rsidRDefault="00153C89" w:rsidP="0053482B">
            <w:pPr>
              <w:spacing w:line="280" w:lineRule="atLeast"/>
              <w:rPr>
                <w:lang w:val="de-DE"/>
              </w:rPr>
            </w:pPr>
          </w:p>
        </w:tc>
      </w:tr>
      <w:tr w:rsidR="00153C89" w:rsidRPr="00C815A5" w14:paraId="7EA91778" w14:textId="77777777" w:rsidTr="00153C89">
        <w:trPr>
          <w:trHeight w:val="1685"/>
        </w:trPr>
        <w:tc>
          <w:tcPr>
            <w:tcW w:w="6736" w:type="dxa"/>
          </w:tcPr>
          <w:p w14:paraId="3EF8E908" w14:textId="77777777" w:rsidR="00153C89" w:rsidRPr="00492E8A" w:rsidRDefault="00153C89" w:rsidP="0053482B">
            <w:pPr>
              <w:pStyle w:val="SSSBAbsatz"/>
              <w:spacing w:before="240"/>
              <w:rPr>
                <w:b/>
                <w:bCs/>
                <w:i/>
                <w:iCs/>
              </w:rPr>
            </w:pPr>
            <w:r w:rsidRPr="00492E8A">
              <w:rPr>
                <w:b/>
                <w:bCs/>
                <w:i/>
                <w:iCs/>
              </w:rPr>
              <w:t>Art. </w:t>
            </w:r>
            <w:proofErr w:type="gramStart"/>
            <w:r w:rsidRPr="00492E8A">
              <w:rPr>
                <w:b/>
                <w:bCs/>
                <w:i/>
                <w:iCs/>
              </w:rPr>
              <w:t>7</w:t>
            </w:r>
            <w:r w:rsidRPr="00492E8A">
              <w:rPr>
                <w:i/>
                <w:iCs/>
              </w:rPr>
              <w:t>  </w:t>
            </w:r>
            <w:r w:rsidRPr="00492E8A">
              <w:rPr>
                <w:b/>
                <w:bCs/>
                <w:i/>
                <w:iCs/>
              </w:rPr>
              <w:t>Kosten</w:t>
            </w:r>
            <w:proofErr w:type="gramEnd"/>
            <w:r w:rsidRPr="00492E8A">
              <w:rPr>
                <w:b/>
                <w:bCs/>
                <w:i/>
                <w:iCs/>
              </w:rPr>
              <w:t xml:space="preserve"> Kontrolluntersuchung</w:t>
            </w:r>
          </w:p>
          <w:p w14:paraId="6E10A455" w14:textId="77777777" w:rsidR="00153C89" w:rsidRPr="00492E8A" w:rsidRDefault="00153C89" w:rsidP="0053482B">
            <w:pPr>
              <w:pStyle w:val="SSSBAbsatz"/>
              <w:rPr>
                <w:b/>
                <w:bCs/>
                <w:i/>
                <w:iCs/>
              </w:rPr>
            </w:pPr>
            <w:r w:rsidRPr="00492E8A">
              <w:rPr>
                <w:b/>
                <w:bCs/>
                <w:i/>
                <w:iCs/>
                <w:position w:val="5"/>
                <w:sz w:val="18"/>
              </w:rPr>
              <w:t>1</w:t>
            </w:r>
            <w:r w:rsidRPr="00492E8A">
              <w:rPr>
                <w:b/>
                <w:bCs/>
                <w:i/>
                <w:iCs/>
              </w:rPr>
              <w:t xml:space="preserve"> Die jährliche Kontrolluntersuchung durch die Strukturen der städtischen Schulzahnmedizin für </w:t>
            </w:r>
            <w:bookmarkStart w:id="7" w:name="_Hlk190270491"/>
            <w:r w:rsidRPr="00492E8A">
              <w:rPr>
                <w:b/>
                <w:bCs/>
                <w:i/>
                <w:iCs/>
              </w:rPr>
              <w:t xml:space="preserve">Schulpflichtige </w:t>
            </w:r>
            <w:bookmarkEnd w:id="7"/>
            <w:r w:rsidRPr="00492E8A">
              <w:rPr>
                <w:b/>
                <w:bCs/>
                <w:i/>
                <w:iCs/>
              </w:rPr>
              <w:t>mit Wohnsitz in der Stadt ist unabhängig von ihrem Schulort kostenlos. Kontrolluntersuchungen durch private Zahnärztinnen und Zahnärzte gehen zu Lasten der Eltern.</w:t>
            </w:r>
          </w:p>
          <w:p w14:paraId="0F7D3536" w14:textId="77777777" w:rsidR="00153C89" w:rsidRPr="00492E8A" w:rsidRDefault="00153C89" w:rsidP="0053482B">
            <w:pPr>
              <w:pStyle w:val="SSSBAbsatz"/>
              <w:rPr>
                <w:i/>
                <w:iCs/>
              </w:rPr>
            </w:pPr>
            <w:r w:rsidRPr="00492E8A">
              <w:rPr>
                <w:b/>
                <w:bCs/>
                <w:i/>
                <w:iCs/>
                <w:position w:val="5"/>
                <w:sz w:val="18"/>
              </w:rPr>
              <w:t>2</w:t>
            </w:r>
            <w:r w:rsidRPr="00492E8A">
              <w:rPr>
                <w:b/>
                <w:bCs/>
                <w:i/>
                <w:iCs/>
              </w:rPr>
              <w:t> Für Schulpflichtige mit Wohnsitz in der Stadt, die die Volksschule in einer anderen Gemeinde besuchen und dort die jährliche Kontrolluntersuchung durch eine Schulzahnärztin oder einen -zahnarzt vornehmen lassen, erfolgt die Kostenübernahme durch die Stadt nach den Ansätzen der anderen Gemeinde.</w:t>
            </w:r>
          </w:p>
          <w:p w14:paraId="516F147C" w14:textId="77777777" w:rsidR="00153C89" w:rsidRPr="00492E8A" w:rsidRDefault="00153C89" w:rsidP="0053482B">
            <w:pPr>
              <w:pStyle w:val="SSSBAbsatz"/>
              <w:rPr>
                <w:b/>
                <w:bCs/>
                <w:i/>
                <w:iCs/>
              </w:rPr>
            </w:pPr>
            <w:bookmarkStart w:id="8" w:name="_Hlk190958819"/>
            <w:bookmarkStart w:id="9" w:name="_Hlk190958077"/>
            <w:r w:rsidRPr="00492E8A">
              <w:rPr>
                <w:b/>
                <w:bCs/>
                <w:i/>
                <w:iCs/>
                <w:position w:val="5"/>
                <w:sz w:val="18"/>
              </w:rPr>
              <w:t>3</w:t>
            </w:r>
            <w:r w:rsidRPr="00492E8A">
              <w:rPr>
                <w:b/>
                <w:bCs/>
                <w:i/>
                <w:iCs/>
              </w:rPr>
              <w:t xml:space="preserve"> Für </w:t>
            </w:r>
            <w:bookmarkEnd w:id="8"/>
            <w:r w:rsidRPr="00492E8A">
              <w:rPr>
                <w:b/>
                <w:bCs/>
                <w:i/>
                <w:iCs/>
              </w:rPr>
              <w:t xml:space="preserve">Schulpflichtige </w:t>
            </w:r>
            <w:bookmarkEnd w:id="9"/>
            <w:r w:rsidRPr="00492E8A">
              <w:rPr>
                <w:b/>
                <w:bCs/>
                <w:i/>
                <w:iCs/>
              </w:rPr>
              <w:t xml:space="preserve">mit Wohnsitz ausserhalb der Stadt Bern, die in der Stadt die Volksschule besuchen, werden die Kosten für die Kontrolluntersuchung durch die Strukturen der städtischen Schulzahnmedizin nach den vom Kanton empfohlenen Ansätzen bei der Wohnsitzgemeinde erhoben. </w:t>
            </w:r>
          </w:p>
        </w:tc>
        <w:tc>
          <w:tcPr>
            <w:tcW w:w="6731" w:type="dxa"/>
          </w:tcPr>
          <w:p w14:paraId="2D71B7E8" w14:textId="77777777" w:rsidR="00153C89" w:rsidRPr="00C815A5" w:rsidRDefault="00153C89" w:rsidP="0053482B">
            <w:pPr>
              <w:spacing w:line="280" w:lineRule="atLeast"/>
              <w:rPr>
                <w:lang w:val="de-DE"/>
              </w:rPr>
            </w:pPr>
          </w:p>
        </w:tc>
      </w:tr>
      <w:tr w:rsidR="00153C89" w:rsidRPr="00C815A5" w14:paraId="35A2A81B" w14:textId="77777777" w:rsidTr="00153C89">
        <w:trPr>
          <w:cnfStyle w:val="000000100000" w:firstRow="0" w:lastRow="0" w:firstColumn="0" w:lastColumn="0" w:oddVBand="0" w:evenVBand="0" w:oddHBand="1" w:evenHBand="0" w:firstRowFirstColumn="0" w:firstRowLastColumn="0" w:lastRowFirstColumn="0" w:lastRowLastColumn="0"/>
          <w:trHeight w:val="647"/>
        </w:trPr>
        <w:tc>
          <w:tcPr>
            <w:tcW w:w="6736" w:type="dxa"/>
          </w:tcPr>
          <w:p w14:paraId="37F64EC8" w14:textId="77777777" w:rsidR="00153C89" w:rsidRPr="00492E8A" w:rsidRDefault="00153C89" w:rsidP="0053482B">
            <w:pPr>
              <w:pStyle w:val="SSSBAbsatz"/>
              <w:spacing w:before="240"/>
              <w:rPr>
                <w:b/>
                <w:bCs/>
                <w:i/>
                <w:iCs/>
              </w:rPr>
            </w:pPr>
            <w:r w:rsidRPr="00492E8A">
              <w:rPr>
                <w:b/>
                <w:bCs/>
                <w:i/>
                <w:iCs/>
              </w:rPr>
              <w:lastRenderedPageBreak/>
              <w:t>Art. </w:t>
            </w:r>
            <w:proofErr w:type="gramStart"/>
            <w:r w:rsidRPr="00492E8A">
              <w:rPr>
                <w:b/>
                <w:bCs/>
                <w:i/>
                <w:iCs/>
              </w:rPr>
              <w:t>8  Behandlungstarif</w:t>
            </w:r>
            <w:proofErr w:type="gramEnd"/>
            <w:r w:rsidRPr="00492E8A">
              <w:rPr>
                <w:b/>
                <w:bCs/>
                <w:i/>
                <w:iCs/>
              </w:rPr>
              <w:t xml:space="preserve"> </w:t>
            </w:r>
          </w:p>
          <w:p w14:paraId="7F390F9E" w14:textId="77777777" w:rsidR="00153C89" w:rsidRPr="00492E8A" w:rsidRDefault="00153C89" w:rsidP="0053482B">
            <w:pPr>
              <w:pStyle w:val="SSSBAbsatz"/>
              <w:rPr>
                <w:b/>
                <w:bCs/>
                <w:i/>
                <w:iCs/>
              </w:rPr>
            </w:pPr>
            <w:r w:rsidRPr="00492E8A">
              <w:rPr>
                <w:b/>
                <w:bCs/>
                <w:i/>
                <w:iCs/>
                <w:position w:val="5"/>
                <w:sz w:val="18"/>
              </w:rPr>
              <w:t>1</w:t>
            </w:r>
            <w:r w:rsidRPr="00492E8A">
              <w:rPr>
                <w:b/>
                <w:bCs/>
                <w:i/>
                <w:iCs/>
              </w:rPr>
              <w:t> Die städtische Schulzahnmedizin erbringt die zahnärztlichen Leistungen zu dem im betreffenden Fall anwendbaren Tarif der Schweizerischen Zahnärztegesellschaft.</w:t>
            </w:r>
          </w:p>
          <w:p w14:paraId="4B190CBF" w14:textId="77777777" w:rsidR="00153C89" w:rsidRPr="00492E8A" w:rsidRDefault="00153C89" w:rsidP="0053482B">
            <w:pPr>
              <w:pStyle w:val="SSSBAbsatz"/>
              <w:rPr>
                <w:b/>
                <w:bCs/>
                <w:i/>
                <w:iCs/>
              </w:rPr>
            </w:pPr>
            <w:r w:rsidRPr="00492E8A">
              <w:rPr>
                <w:b/>
                <w:bCs/>
                <w:i/>
                <w:iCs/>
                <w:position w:val="5"/>
                <w:sz w:val="18"/>
              </w:rPr>
              <w:t>2</w:t>
            </w:r>
            <w:r w:rsidRPr="00492E8A">
              <w:rPr>
                <w:b/>
                <w:bCs/>
                <w:i/>
                <w:iCs/>
              </w:rPr>
              <w:t> Für alle Behandlungen wird auf den Mittelwert der für die betreffende Einzelleistung festgesetzten Anzahl Taxpunkte abgestellt.</w:t>
            </w:r>
          </w:p>
          <w:p w14:paraId="1B0AC80A" w14:textId="77777777" w:rsidR="00153C89" w:rsidRPr="00492E8A" w:rsidRDefault="00153C89" w:rsidP="0053482B">
            <w:pPr>
              <w:pStyle w:val="SSSBAbsatz"/>
              <w:rPr>
                <w:b/>
                <w:bCs/>
                <w:i/>
                <w:iCs/>
              </w:rPr>
            </w:pPr>
            <w:r w:rsidRPr="00492E8A">
              <w:rPr>
                <w:b/>
                <w:bCs/>
                <w:i/>
                <w:iCs/>
                <w:position w:val="5"/>
                <w:sz w:val="18"/>
              </w:rPr>
              <w:t>3</w:t>
            </w:r>
            <w:r w:rsidRPr="00492E8A">
              <w:rPr>
                <w:b/>
                <w:bCs/>
                <w:i/>
                <w:iCs/>
              </w:rPr>
              <w:t> Für Behandlungen zu Lasten der Unfall-, Militär- und Invalidenversicherung und für die Sozialzahnmedizin gilt ein Taxpunktwert von Fr. 1.00. Für Behandlungen zu Lasten der obligatorischen Krankenpflegeversicherung gilt der altrechtliche Tarif 1994 der Schweizerischen Zahnärztegesellschaft.</w:t>
            </w:r>
          </w:p>
          <w:p w14:paraId="07A8FA82" w14:textId="77777777" w:rsidR="00153C89" w:rsidRPr="00492E8A" w:rsidRDefault="00153C89" w:rsidP="0053482B">
            <w:pPr>
              <w:pStyle w:val="SSSBAbsatz"/>
              <w:rPr>
                <w:b/>
                <w:bCs/>
                <w:i/>
                <w:iCs/>
              </w:rPr>
            </w:pPr>
            <w:r w:rsidRPr="00492E8A">
              <w:rPr>
                <w:b/>
                <w:bCs/>
                <w:i/>
                <w:iCs/>
                <w:position w:val="5"/>
                <w:sz w:val="18"/>
              </w:rPr>
              <w:t>4</w:t>
            </w:r>
            <w:r w:rsidRPr="00492E8A">
              <w:rPr>
                <w:b/>
                <w:bCs/>
                <w:i/>
                <w:iCs/>
              </w:rPr>
              <w:t> Zahntechnische Arbeiten werden zusätzlich in Rechnung gestellt.</w:t>
            </w:r>
          </w:p>
          <w:p w14:paraId="789EFCA7" w14:textId="77777777" w:rsidR="00153C89" w:rsidRPr="00492E8A" w:rsidRDefault="00153C89" w:rsidP="0053482B">
            <w:pPr>
              <w:pStyle w:val="SSSBAbsatz"/>
              <w:rPr>
                <w:i/>
                <w:iCs/>
              </w:rPr>
            </w:pPr>
            <w:r w:rsidRPr="00492E8A">
              <w:rPr>
                <w:b/>
                <w:bCs/>
                <w:i/>
                <w:iCs/>
                <w:position w:val="5"/>
                <w:sz w:val="18"/>
              </w:rPr>
              <w:t>5</w:t>
            </w:r>
            <w:r w:rsidRPr="00492E8A">
              <w:rPr>
                <w:b/>
                <w:bCs/>
                <w:i/>
                <w:iCs/>
              </w:rPr>
              <w:t> Der Gemeinderat kann durch Verordnung den Behandlungstarif nach Artikel 8 an Änderungen in der vertraglichen Beziehung zwischen</w:t>
            </w:r>
            <w:r w:rsidRPr="00492E8A">
              <w:rPr>
                <w:i/>
                <w:iCs/>
              </w:rPr>
              <w:t xml:space="preserve"> </w:t>
            </w:r>
            <w:r w:rsidRPr="00492E8A">
              <w:rPr>
                <w:b/>
                <w:bCs/>
                <w:i/>
                <w:iCs/>
              </w:rPr>
              <w:t>der Schweizerischen Zahnärztegesellschaft und den Sozialversicherern anpassen.</w:t>
            </w:r>
          </w:p>
        </w:tc>
        <w:tc>
          <w:tcPr>
            <w:tcW w:w="6731" w:type="dxa"/>
          </w:tcPr>
          <w:p w14:paraId="064F920D" w14:textId="77777777" w:rsidR="00153C89" w:rsidRPr="00C815A5" w:rsidRDefault="00153C89" w:rsidP="0053482B">
            <w:pPr>
              <w:spacing w:line="280" w:lineRule="atLeast"/>
              <w:rPr>
                <w:lang w:val="de-DE"/>
              </w:rPr>
            </w:pPr>
          </w:p>
        </w:tc>
      </w:tr>
      <w:tr w:rsidR="00153C89" w:rsidRPr="00C815A5" w14:paraId="28E44E53" w14:textId="77777777" w:rsidTr="00153C89">
        <w:trPr>
          <w:trHeight w:val="1356"/>
        </w:trPr>
        <w:tc>
          <w:tcPr>
            <w:tcW w:w="6736" w:type="dxa"/>
          </w:tcPr>
          <w:p w14:paraId="3C17F42B" w14:textId="77777777" w:rsidR="00153C89" w:rsidRPr="00492E8A" w:rsidRDefault="00153C89" w:rsidP="0053482B">
            <w:pPr>
              <w:pStyle w:val="SSSBAbsatz"/>
              <w:spacing w:before="240"/>
              <w:rPr>
                <w:b/>
                <w:bCs/>
                <w:i/>
                <w:iCs/>
              </w:rPr>
            </w:pPr>
            <w:r w:rsidRPr="00492E8A">
              <w:rPr>
                <w:b/>
                <w:bCs/>
                <w:i/>
                <w:iCs/>
              </w:rPr>
              <w:t>Art. </w:t>
            </w:r>
            <w:proofErr w:type="gramStart"/>
            <w:r w:rsidRPr="00492E8A">
              <w:rPr>
                <w:b/>
                <w:bCs/>
                <w:i/>
                <w:iCs/>
              </w:rPr>
              <w:t>9</w:t>
            </w:r>
            <w:r w:rsidRPr="00492E8A">
              <w:rPr>
                <w:i/>
                <w:iCs/>
              </w:rPr>
              <w:t>  </w:t>
            </w:r>
            <w:r w:rsidRPr="00492E8A">
              <w:rPr>
                <w:b/>
                <w:bCs/>
                <w:i/>
                <w:iCs/>
              </w:rPr>
              <w:t>Kosten</w:t>
            </w:r>
            <w:proofErr w:type="gramEnd"/>
            <w:r w:rsidRPr="00492E8A">
              <w:rPr>
                <w:b/>
                <w:bCs/>
                <w:i/>
                <w:iCs/>
              </w:rPr>
              <w:t xml:space="preserve"> regelmässige Prophylaxe </w:t>
            </w:r>
          </w:p>
          <w:p w14:paraId="7DFEDFB9" w14:textId="77777777" w:rsidR="00153C89" w:rsidRPr="00492E8A" w:rsidRDefault="00153C89" w:rsidP="0053482B">
            <w:pPr>
              <w:pStyle w:val="SSSBAbsatz"/>
              <w:rPr>
                <w:b/>
                <w:bCs/>
                <w:i/>
                <w:iCs/>
              </w:rPr>
            </w:pPr>
            <w:r w:rsidRPr="00492E8A">
              <w:rPr>
                <w:b/>
                <w:bCs/>
                <w:i/>
                <w:iCs/>
                <w:position w:val="5"/>
                <w:sz w:val="18"/>
              </w:rPr>
              <w:t>1</w:t>
            </w:r>
            <w:r w:rsidRPr="00492E8A">
              <w:rPr>
                <w:b/>
                <w:bCs/>
                <w:i/>
                <w:iCs/>
              </w:rPr>
              <w:t xml:space="preserve"> Die Unterstützung der öffentlichen Volksschule der Stadt bei der regelmässigen Prophylaxe durch Fachpersonal erfolgt unentgeltlich.</w:t>
            </w:r>
          </w:p>
          <w:p w14:paraId="35D9AEB3" w14:textId="77777777" w:rsidR="00153C89" w:rsidRPr="00492E8A" w:rsidRDefault="00153C89" w:rsidP="0053482B">
            <w:pPr>
              <w:pStyle w:val="SSSBAbsatz"/>
              <w:rPr>
                <w:i/>
                <w:iCs/>
              </w:rPr>
            </w:pPr>
            <w:r w:rsidRPr="00492E8A">
              <w:rPr>
                <w:b/>
                <w:bCs/>
                <w:i/>
                <w:iCs/>
                <w:position w:val="5"/>
                <w:sz w:val="18"/>
              </w:rPr>
              <w:t>2</w:t>
            </w:r>
            <w:r w:rsidRPr="00492E8A">
              <w:rPr>
                <w:b/>
                <w:bCs/>
                <w:i/>
                <w:iCs/>
              </w:rPr>
              <w:t> Die Unterstützung der Trägerschaften der privaten Volksschule bei der regelmässigen Prophylaxe erfolgt nach dem Zeittarif II des Artikels 7 Absatz 2 Buchstabe b des Reglements vom 21. Mai 2000 über die Gebührenerhebung durch die Stadtverwaltung Bern.</w:t>
            </w:r>
          </w:p>
        </w:tc>
        <w:tc>
          <w:tcPr>
            <w:tcW w:w="6731" w:type="dxa"/>
          </w:tcPr>
          <w:p w14:paraId="7B0FD17B" w14:textId="77777777" w:rsidR="00153C89" w:rsidRPr="00C815A5" w:rsidRDefault="00153C89" w:rsidP="0053482B">
            <w:pPr>
              <w:spacing w:line="280" w:lineRule="atLeast"/>
              <w:rPr>
                <w:lang w:val="de-DE"/>
              </w:rPr>
            </w:pPr>
          </w:p>
        </w:tc>
      </w:tr>
      <w:tr w:rsidR="00153C89" w:rsidRPr="00C815A5" w14:paraId="707C02A3" w14:textId="77777777" w:rsidTr="00153C89">
        <w:trPr>
          <w:cnfStyle w:val="000000100000" w:firstRow="0" w:lastRow="0" w:firstColumn="0" w:lastColumn="0" w:oddVBand="0" w:evenVBand="0" w:oddHBand="1" w:evenHBand="0" w:firstRowFirstColumn="0" w:firstRowLastColumn="0" w:lastRowFirstColumn="0" w:lastRowLastColumn="0"/>
          <w:trHeight w:val="569"/>
        </w:trPr>
        <w:tc>
          <w:tcPr>
            <w:tcW w:w="6736" w:type="dxa"/>
          </w:tcPr>
          <w:p w14:paraId="599D9CB1" w14:textId="394D974F" w:rsidR="00153C89" w:rsidRPr="00492E8A" w:rsidRDefault="00153C89" w:rsidP="0053482B">
            <w:pPr>
              <w:pStyle w:val="SSSBArtikel"/>
              <w:keepNext w:val="0"/>
              <w:outlineLvl w:val="0"/>
              <w:rPr>
                <w:b/>
                <w:bCs/>
                <w:i/>
                <w:iCs/>
              </w:rPr>
            </w:pPr>
            <w:r w:rsidRPr="00492E8A">
              <w:rPr>
                <w:b/>
                <w:bCs/>
                <w:i/>
                <w:iCs/>
              </w:rPr>
              <w:t>Art. </w:t>
            </w:r>
            <w:proofErr w:type="gramStart"/>
            <w:r w:rsidRPr="00492E8A">
              <w:rPr>
                <w:b/>
                <w:bCs/>
                <w:i/>
                <w:iCs/>
              </w:rPr>
              <w:t>10</w:t>
            </w:r>
            <w:r w:rsidRPr="00492E8A">
              <w:rPr>
                <w:i/>
                <w:iCs/>
              </w:rPr>
              <w:t>  </w:t>
            </w:r>
            <w:r w:rsidRPr="00492E8A">
              <w:rPr>
                <w:b/>
                <w:bCs/>
                <w:i/>
                <w:iCs/>
              </w:rPr>
              <w:t>Rechnungsstellung</w:t>
            </w:r>
            <w:proofErr w:type="gramEnd"/>
          </w:p>
          <w:p w14:paraId="0E912AA4" w14:textId="77777777" w:rsidR="00153C89" w:rsidRPr="00D82151" w:rsidRDefault="00153C89" w:rsidP="0053482B">
            <w:pPr>
              <w:pStyle w:val="SSSBAbsatz"/>
              <w:rPr>
                <w:b/>
                <w:bCs/>
                <w:i/>
                <w:iCs/>
              </w:rPr>
            </w:pPr>
            <w:r w:rsidRPr="00492E8A">
              <w:rPr>
                <w:b/>
                <w:bCs/>
                <w:i/>
                <w:iCs/>
              </w:rPr>
              <w:lastRenderedPageBreak/>
              <w:t>Die Kosten nach Artikel 8 werden den Eltern der behandelten Schulpflichtigen in Rechnung gestellt. Vorbehalten bleibt die Rechnungsstellung bei Drittzahlenden (Sozialversicherungen, Sozialzahnmedizin).</w:t>
            </w:r>
          </w:p>
        </w:tc>
        <w:tc>
          <w:tcPr>
            <w:tcW w:w="6731" w:type="dxa"/>
          </w:tcPr>
          <w:p w14:paraId="721D7E1D" w14:textId="77777777" w:rsidR="00153C89" w:rsidRPr="00C815A5" w:rsidRDefault="00153C89" w:rsidP="0053482B">
            <w:pPr>
              <w:spacing w:line="280" w:lineRule="atLeast"/>
              <w:rPr>
                <w:lang w:val="de-DE"/>
              </w:rPr>
            </w:pPr>
          </w:p>
        </w:tc>
      </w:tr>
      <w:tr w:rsidR="00153C89" w:rsidRPr="00C815A5" w14:paraId="74C5056D" w14:textId="77777777" w:rsidTr="00153C89">
        <w:trPr>
          <w:trHeight w:val="1356"/>
        </w:trPr>
        <w:tc>
          <w:tcPr>
            <w:tcW w:w="6736" w:type="dxa"/>
          </w:tcPr>
          <w:p w14:paraId="607E1AD4" w14:textId="77777777" w:rsidR="00153C89" w:rsidRPr="00492E8A" w:rsidRDefault="00153C89" w:rsidP="0053482B">
            <w:pPr>
              <w:spacing w:before="240" w:line="288" w:lineRule="auto"/>
              <w:outlineLvl w:val="0"/>
              <w:rPr>
                <w:b/>
                <w:i/>
                <w:iCs/>
                <w:color w:val="000000"/>
              </w:rPr>
            </w:pPr>
            <w:r w:rsidRPr="00492E8A">
              <w:rPr>
                <w:b/>
                <w:i/>
                <w:iCs/>
                <w:color w:val="000000"/>
              </w:rPr>
              <w:t xml:space="preserve">3.  Abschnitt: Datenbearbeitung </w:t>
            </w:r>
          </w:p>
          <w:p w14:paraId="60D81B58" w14:textId="77777777" w:rsidR="00153C89" w:rsidRPr="00492E8A" w:rsidRDefault="00153C89" w:rsidP="0053482B">
            <w:pPr>
              <w:pStyle w:val="SSSBArtikel"/>
              <w:keepNext w:val="0"/>
              <w:outlineLvl w:val="0"/>
              <w:rPr>
                <w:b/>
                <w:bCs/>
                <w:i/>
                <w:iCs/>
              </w:rPr>
            </w:pPr>
            <w:bookmarkStart w:id="10" w:name="_Hlk190257275"/>
            <w:r w:rsidRPr="00492E8A">
              <w:rPr>
                <w:b/>
                <w:bCs/>
                <w:i/>
                <w:iCs/>
              </w:rPr>
              <w:t>Art. 11</w:t>
            </w:r>
            <w:r w:rsidRPr="00492E8A">
              <w:rPr>
                <w:i/>
                <w:iCs/>
              </w:rPr>
              <w:t xml:space="preserve">   </w:t>
            </w:r>
            <w:r w:rsidRPr="00492E8A">
              <w:rPr>
                <w:b/>
                <w:bCs/>
                <w:i/>
                <w:iCs/>
              </w:rPr>
              <w:t>Datenbearbeitung durch die Schulzahnmedizin</w:t>
            </w:r>
          </w:p>
          <w:p w14:paraId="5D9DE120" w14:textId="77777777" w:rsidR="00153C89" w:rsidRPr="00492E8A" w:rsidRDefault="00153C89" w:rsidP="0053482B">
            <w:pPr>
              <w:pStyle w:val="SSSBAbsatz"/>
              <w:rPr>
                <w:b/>
                <w:bCs/>
                <w:i/>
                <w:iCs/>
              </w:rPr>
            </w:pPr>
            <w:bookmarkStart w:id="11" w:name="_Hlk190257388"/>
            <w:r w:rsidRPr="00492E8A">
              <w:rPr>
                <w:b/>
                <w:bCs/>
                <w:i/>
                <w:iCs/>
              </w:rPr>
              <w:t xml:space="preserve">In der </w:t>
            </w:r>
            <w:bookmarkEnd w:id="10"/>
            <w:r w:rsidRPr="00492E8A">
              <w:rPr>
                <w:b/>
                <w:bCs/>
                <w:i/>
                <w:iCs/>
              </w:rPr>
              <w:t>Schulzahnmedizin der Stadt Bern werden die zur Erfüllung ihrer Aufgaben notwendigen Daten einschliesslich</w:t>
            </w:r>
            <w:r w:rsidRPr="001D5E04">
              <w:rPr>
                <w:b/>
                <w:bCs/>
                <w:i/>
                <w:iCs/>
                <w:color w:val="000000" w:themeColor="text1"/>
              </w:rPr>
              <w:t xml:space="preserve"> </w:t>
            </w:r>
            <w:r w:rsidRPr="00492E8A">
              <w:rPr>
                <w:b/>
                <w:bCs/>
                <w:i/>
                <w:iCs/>
              </w:rPr>
              <w:t xml:space="preserve">besonders schützenswerter </w:t>
            </w:r>
            <w:r w:rsidRPr="001D5E04">
              <w:rPr>
                <w:b/>
                <w:bCs/>
                <w:i/>
                <w:iCs/>
                <w:color w:val="000000" w:themeColor="text1"/>
              </w:rPr>
              <w:t>Personendaten bearbeitet</w:t>
            </w:r>
            <w:r w:rsidRPr="00492E8A">
              <w:rPr>
                <w:b/>
                <w:bCs/>
                <w:i/>
                <w:iCs/>
              </w:rPr>
              <w:t xml:space="preserve">. Die Bearbeitung umfasst </w:t>
            </w:r>
          </w:p>
          <w:p w14:paraId="0CD26085" w14:textId="77777777" w:rsidR="00153C89" w:rsidRPr="00492E8A" w:rsidRDefault="00153C89" w:rsidP="00153C89">
            <w:pPr>
              <w:pStyle w:val="SSSBBuchstabe"/>
              <w:numPr>
                <w:ilvl w:val="0"/>
                <w:numId w:val="18"/>
              </w:numPr>
              <w:rPr>
                <w:b/>
                <w:bCs/>
                <w:i/>
                <w:iCs/>
              </w:rPr>
            </w:pPr>
            <w:r w:rsidRPr="00492E8A">
              <w:rPr>
                <w:b/>
                <w:bCs/>
                <w:i/>
                <w:iCs/>
              </w:rPr>
              <w:t>die periodische Datenerhebung der schulpflichtigen Kinder und Jugendlichen in der Stadt Bern;</w:t>
            </w:r>
          </w:p>
          <w:p w14:paraId="7DCD8443" w14:textId="77777777" w:rsidR="00153C89" w:rsidRPr="00492E8A" w:rsidRDefault="00153C89" w:rsidP="00153C89">
            <w:pPr>
              <w:pStyle w:val="SSSBBuchstabe"/>
              <w:numPr>
                <w:ilvl w:val="0"/>
                <w:numId w:val="18"/>
              </w:numPr>
              <w:rPr>
                <w:b/>
                <w:bCs/>
                <w:i/>
                <w:iCs/>
              </w:rPr>
            </w:pPr>
            <w:r w:rsidRPr="00492E8A">
              <w:rPr>
                <w:b/>
                <w:bCs/>
                <w:i/>
                <w:iCs/>
              </w:rPr>
              <w:t>das Informationsschreiben an die Eltern betreffend jährlicher Kontrolluntersuchung (Hinweis auf das Obligatorium, die Wahlfreiheit nach Art. 5 Abs. 2 und die Kostenfolgen nach Art. 7 Abs. 1);</w:t>
            </w:r>
          </w:p>
          <w:bookmarkEnd w:id="11"/>
          <w:p w14:paraId="5057F626" w14:textId="77777777" w:rsidR="00153C89" w:rsidRPr="00492E8A" w:rsidRDefault="00153C89" w:rsidP="00153C89">
            <w:pPr>
              <w:pStyle w:val="SSSBBuchstabe"/>
              <w:numPr>
                <w:ilvl w:val="0"/>
                <w:numId w:val="18"/>
              </w:numPr>
              <w:rPr>
                <w:b/>
                <w:bCs/>
                <w:i/>
                <w:iCs/>
              </w:rPr>
            </w:pPr>
            <w:r w:rsidRPr="00492E8A">
              <w:rPr>
                <w:b/>
                <w:bCs/>
                <w:i/>
                <w:iCs/>
              </w:rPr>
              <w:t>das Verfahren für die Kontrolluntersuchung und allfällig daran anschliessende Behandlungen;</w:t>
            </w:r>
          </w:p>
          <w:p w14:paraId="598AFABA" w14:textId="77777777" w:rsidR="00153C89" w:rsidRPr="00492E8A" w:rsidRDefault="00153C89" w:rsidP="00153C89">
            <w:pPr>
              <w:pStyle w:val="SSSBBuchstabe"/>
              <w:numPr>
                <w:ilvl w:val="0"/>
                <w:numId w:val="18"/>
              </w:numPr>
              <w:rPr>
                <w:b/>
                <w:bCs/>
                <w:i/>
                <w:iCs/>
              </w:rPr>
            </w:pPr>
            <w:r w:rsidRPr="00492E8A">
              <w:rPr>
                <w:b/>
                <w:bCs/>
                <w:i/>
                <w:iCs/>
              </w:rPr>
              <w:t>das Erfassen der erfolgten Kontrolluntersuchungen;</w:t>
            </w:r>
          </w:p>
          <w:p w14:paraId="43C19321" w14:textId="77777777" w:rsidR="00153C89" w:rsidRPr="00492E8A" w:rsidRDefault="00153C89" w:rsidP="00153C89">
            <w:pPr>
              <w:pStyle w:val="SSSBBuchstabe"/>
              <w:numPr>
                <w:ilvl w:val="0"/>
                <w:numId w:val="18"/>
              </w:numPr>
              <w:rPr>
                <w:b/>
                <w:bCs/>
                <w:i/>
                <w:iCs/>
              </w:rPr>
            </w:pPr>
            <w:r w:rsidRPr="00492E8A">
              <w:rPr>
                <w:b/>
                <w:bCs/>
                <w:i/>
                <w:iCs/>
              </w:rPr>
              <w:t>die Vollzugsmeldung privater Zahnärztinnen und Zahnärzten nach erfolgter Kontrolluntersuchung;</w:t>
            </w:r>
          </w:p>
          <w:p w14:paraId="74361F7E" w14:textId="77777777" w:rsidR="00153C89" w:rsidRPr="00492E8A" w:rsidRDefault="00153C89" w:rsidP="00153C89">
            <w:pPr>
              <w:pStyle w:val="SSSBBuchstabe"/>
              <w:numPr>
                <w:ilvl w:val="0"/>
                <w:numId w:val="18"/>
              </w:numPr>
              <w:rPr>
                <w:b/>
                <w:bCs/>
                <w:i/>
                <w:iCs/>
              </w:rPr>
            </w:pPr>
            <w:r w:rsidRPr="00492E8A">
              <w:rPr>
                <w:b/>
                <w:bCs/>
                <w:i/>
                <w:iCs/>
              </w:rPr>
              <w:t>die interkommunalen Abrechnungen aus den Kontrolluntersuchungen und das Inkasso;</w:t>
            </w:r>
          </w:p>
          <w:p w14:paraId="5B63220D" w14:textId="77777777" w:rsidR="00153C89" w:rsidRPr="00492E8A" w:rsidRDefault="00153C89" w:rsidP="00153C89">
            <w:pPr>
              <w:pStyle w:val="SSSBBuchstabe"/>
              <w:numPr>
                <w:ilvl w:val="0"/>
                <w:numId w:val="18"/>
              </w:numPr>
              <w:rPr>
                <w:i/>
                <w:iCs/>
              </w:rPr>
            </w:pPr>
            <w:proofErr w:type="gramStart"/>
            <w:r w:rsidRPr="00492E8A">
              <w:rPr>
                <w:b/>
                <w:bCs/>
                <w:i/>
                <w:iCs/>
              </w:rPr>
              <w:t>das</w:t>
            </w:r>
            <w:proofErr w:type="gramEnd"/>
            <w:r w:rsidRPr="00492E8A">
              <w:rPr>
                <w:b/>
                <w:bCs/>
                <w:i/>
                <w:iCs/>
              </w:rPr>
              <w:t xml:space="preserve"> Rechnungs-, Mahn- und Inkassowesen aus den Behandlungen.</w:t>
            </w:r>
          </w:p>
        </w:tc>
        <w:tc>
          <w:tcPr>
            <w:tcW w:w="6731" w:type="dxa"/>
          </w:tcPr>
          <w:p w14:paraId="051E418A" w14:textId="77777777" w:rsidR="00153C89" w:rsidRPr="00C815A5" w:rsidRDefault="00153C89" w:rsidP="0053482B">
            <w:pPr>
              <w:spacing w:line="280" w:lineRule="atLeast"/>
              <w:rPr>
                <w:lang w:val="de-DE"/>
              </w:rPr>
            </w:pPr>
          </w:p>
        </w:tc>
      </w:tr>
      <w:tr w:rsidR="00153C89" w:rsidRPr="00C815A5" w14:paraId="7FFBCAE7" w14:textId="77777777" w:rsidTr="00153C89">
        <w:trPr>
          <w:cnfStyle w:val="000000100000" w:firstRow="0" w:lastRow="0" w:firstColumn="0" w:lastColumn="0" w:oddVBand="0" w:evenVBand="0" w:oddHBand="1" w:evenHBand="0" w:firstRowFirstColumn="0" w:firstRowLastColumn="0" w:lastRowFirstColumn="0" w:lastRowLastColumn="0"/>
          <w:trHeight w:val="1091"/>
        </w:trPr>
        <w:tc>
          <w:tcPr>
            <w:tcW w:w="6736" w:type="dxa"/>
          </w:tcPr>
          <w:p w14:paraId="456E0C93" w14:textId="77777777" w:rsidR="00153C89" w:rsidRPr="00492E8A" w:rsidRDefault="00153C89" w:rsidP="0053482B">
            <w:pPr>
              <w:pStyle w:val="SSSBArtikel"/>
              <w:keepNext w:val="0"/>
              <w:outlineLvl w:val="0"/>
              <w:rPr>
                <w:b/>
                <w:bCs/>
                <w:i/>
                <w:iCs/>
              </w:rPr>
            </w:pPr>
            <w:r w:rsidRPr="00492E8A">
              <w:rPr>
                <w:b/>
                <w:bCs/>
                <w:i/>
                <w:iCs/>
              </w:rPr>
              <w:lastRenderedPageBreak/>
              <w:t>Art. </w:t>
            </w:r>
            <w:proofErr w:type="gramStart"/>
            <w:r w:rsidRPr="00492E8A">
              <w:rPr>
                <w:b/>
                <w:bCs/>
                <w:i/>
                <w:iCs/>
              </w:rPr>
              <w:t>12</w:t>
            </w:r>
            <w:r w:rsidRPr="00492E8A">
              <w:rPr>
                <w:i/>
                <w:iCs/>
              </w:rPr>
              <w:t>  </w:t>
            </w:r>
            <w:r w:rsidRPr="00492E8A">
              <w:rPr>
                <w:b/>
                <w:bCs/>
                <w:i/>
                <w:iCs/>
              </w:rPr>
              <w:t>Datenbearbeitung</w:t>
            </w:r>
            <w:proofErr w:type="gramEnd"/>
            <w:r w:rsidRPr="00492E8A">
              <w:rPr>
                <w:b/>
                <w:bCs/>
                <w:i/>
                <w:iCs/>
              </w:rPr>
              <w:t xml:space="preserve"> bei den weiteren Aufgaben  </w:t>
            </w:r>
          </w:p>
          <w:p w14:paraId="29E5457C" w14:textId="77777777" w:rsidR="00153C89" w:rsidRPr="00492E8A" w:rsidRDefault="00153C89" w:rsidP="0053482B">
            <w:pPr>
              <w:pStyle w:val="SSSBAbsatz"/>
              <w:rPr>
                <w:b/>
                <w:bCs/>
                <w:i/>
                <w:iCs/>
              </w:rPr>
            </w:pPr>
            <w:r w:rsidRPr="00492E8A">
              <w:rPr>
                <w:b/>
                <w:bCs/>
                <w:i/>
                <w:iCs/>
              </w:rPr>
              <w:t xml:space="preserve">Zur Erfüllung der weiteren Aufgaben werden die dafür notwendigen Daten </w:t>
            </w:r>
            <w:r w:rsidRPr="00492E8A">
              <w:rPr>
                <w:b/>
                <w:bCs/>
                <w:i/>
                <w:iCs/>
                <w:color w:val="auto"/>
              </w:rPr>
              <w:t>einschliesslich besonders schützenswerter Personendate</w:t>
            </w:r>
            <w:r w:rsidRPr="001D5E04">
              <w:rPr>
                <w:b/>
                <w:bCs/>
                <w:i/>
                <w:iCs/>
                <w:color w:val="000000" w:themeColor="text1"/>
              </w:rPr>
              <w:t>n</w:t>
            </w:r>
            <w:r w:rsidRPr="001D5E04">
              <w:rPr>
                <w:b/>
                <w:bCs/>
                <w:i/>
                <w:iCs/>
              </w:rPr>
              <w:t xml:space="preserve"> </w:t>
            </w:r>
            <w:r w:rsidRPr="00492E8A">
              <w:rPr>
                <w:b/>
                <w:bCs/>
                <w:i/>
                <w:iCs/>
              </w:rPr>
              <w:t xml:space="preserve">bearbeitet. Die Bearbeitung umfasst </w:t>
            </w:r>
          </w:p>
          <w:p w14:paraId="5BA776F8" w14:textId="77777777" w:rsidR="00153C89" w:rsidRPr="00492E8A" w:rsidRDefault="00153C89" w:rsidP="00153C89">
            <w:pPr>
              <w:pStyle w:val="SSSBBuchstabe"/>
              <w:numPr>
                <w:ilvl w:val="0"/>
                <w:numId w:val="19"/>
              </w:numPr>
              <w:rPr>
                <w:b/>
                <w:bCs/>
                <w:i/>
                <w:iCs/>
              </w:rPr>
            </w:pPr>
            <w:r w:rsidRPr="00492E8A">
              <w:rPr>
                <w:b/>
                <w:bCs/>
                <w:i/>
                <w:iCs/>
              </w:rPr>
              <w:t>die periodische Datenerhebung der vorschulpflichtigen Kinder in der Stadt Bern;</w:t>
            </w:r>
          </w:p>
          <w:p w14:paraId="428BE887" w14:textId="77777777" w:rsidR="00153C89" w:rsidRPr="00492E8A" w:rsidRDefault="00153C89" w:rsidP="00153C89">
            <w:pPr>
              <w:pStyle w:val="SSSBBuchstabe"/>
              <w:numPr>
                <w:ilvl w:val="0"/>
                <w:numId w:val="19"/>
              </w:numPr>
              <w:rPr>
                <w:i/>
                <w:iCs/>
              </w:rPr>
            </w:pPr>
            <w:r w:rsidRPr="00492E8A">
              <w:rPr>
                <w:b/>
                <w:bCs/>
                <w:i/>
                <w:iCs/>
              </w:rPr>
              <w:t>das Informationsschreiben an die Eltern betreffend die freiwillige Frühberatung (Art. 3) und das Aufgebot für die Durchführung bei Inanspruchnahme des Angebots.</w:t>
            </w:r>
          </w:p>
        </w:tc>
        <w:tc>
          <w:tcPr>
            <w:tcW w:w="6731" w:type="dxa"/>
          </w:tcPr>
          <w:p w14:paraId="0C64541E" w14:textId="77777777" w:rsidR="00153C89" w:rsidRPr="00C815A5" w:rsidRDefault="00153C89" w:rsidP="0053482B">
            <w:pPr>
              <w:spacing w:line="280" w:lineRule="atLeast"/>
              <w:rPr>
                <w:lang w:val="de-DE"/>
              </w:rPr>
            </w:pPr>
          </w:p>
        </w:tc>
      </w:tr>
      <w:tr w:rsidR="00153C89" w:rsidRPr="00C815A5" w14:paraId="744C5222" w14:textId="77777777" w:rsidTr="00153C89">
        <w:trPr>
          <w:trHeight w:val="995"/>
        </w:trPr>
        <w:tc>
          <w:tcPr>
            <w:tcW w:w="6736" w:type="dxa"/>
          </w:tcPr>
          <w:p w14:paraId="79A3EF1C" w14:textId="77777777" w:rsidR="00153C89" w:rsidRPr="00492E8A" w:rsidRDefault="00153C89" w:rsidP="0053482B">
            <w:pPr>
              <w:pStyle w:val="SSSBArtikel"/>
              <w:keepNext w:val="0"/>
              <w:outlineLvl w:val="0"/>
              <w:rPr>
                <w:b/>
                <w:bCs/>
                <w:i/>
                <w:iCs/>
              </w:rPr>
            </w:pPr>
            <w:r w:rsidRPr="00492E8A">
              <w:rPr>
                <w:b/>
                <w:bCs/>
                <w:i/>
                <w:iCs/>
              </w:rPr>
              <w:t>Art. </w:t>
            </w:r>
            <w:proofErr w:type="gramStart"/>
            <w:r w:rsidRPr="00492E8A">
              <w:rPr>
                <w:b/>
                <w:bCs/>
                <w:i/>
                <w:iCs/>
              </w:rPr>
              <w:t>13</w:t>
            </w:r>
            <w:r w:rsidRPr="00492E8A">
              <w:rPr>
                <w:i/>
                <w:iCs/>
              </w:rPr>
              <w:t>  </w:t>
            </w:r>
            <w:r w:rsidRPr="00492E8A">
              <w:rPr>
                <w:b/>
                <w:bCs/>
                <w:i/>
                <w:iCs/>
              </w:rPr>
              <w:t>Elektronisches</w:t>
            </w:r>
            <w:proofErr w:type="gramEnd"/>
            <w:r w:rsidRPr="00492E8A">
              <w:rPr>
                <w:b/>
                <w:bCs/>
                <w:i/>
                <w:iCs/>
              </w:rPr>
              <w:t xml:space="preserve"> Fallführungssystem und Abrufverfahren</w:t>
            </w:r>
          </w:p>
          <w:p w14:paraId="2118F44B" w14:textId="77777777" w:rsidR="00153C89" w:rsidRPr="00492E8A" w:rsidRDefault="00153C89" w:rsidP="0053482B">
            <w:pPr>
              <w:pStyle w:val="SSSBAbsatz"/>
              <w:rPr>
                <w:b/>
                <w:bCs/>
                <w:i/>
                <w:iCs/>
              </w:rPr>
            </w:pPr>
            <w:bookmarkStart w:id="12" w:name="_Hlk195233912"/>
            <w:r w:rsidRPr="00492E8A">
              <w:rPr>
                <w:b/>
                <w:bCs/>
                <w:i/>
                <w:iCs/>
                <w:position w:val="5"/>
                <w:sz w:val="18"/>
              </w:rPr>
              <w:t>1</w:t>
            </w:r>
            <w:r w:rsidRPr="00492E8A">
              <w:rPr>
                <w:b/>
                <w:bCs/>
                <w:i/>
                <w:iCs/>
              </w:rPr>
              <w:t xml:space="preserve"> Zur Bearbeitung der Daten nach den Artikeln 11 und 12 kann ein elektronisches Fallführungssystem (elektronisches Patientinnen- und Patientendossier) verwendet werden.</w:t>
            </w:r>
          </w:p>
          <w:bookmarkEnd w:id="12"/>
          <w:p w14:paraId="5560A31B" w14:textId="77777777" w:rsidR="00153C89" w:rsidRPr="00492E8A" w:rsidRDefault="00153C89" w:rsidP="0053482B">
            <w:pPr>
              <w:pStyle w:val="SSSBAbsatz"/>
              <w:rPr>
                <w:i/>
                <w:iCs/>
              </w:rPr>
            </w:pPr>
            <w:r w:rsidRPr="00492E8A">
              <w:rPr>
                <w:b/>
                <w:bCs/>
                <w:i/>
                <w:iCs/>
                <w:position w:val="5"/>
                <w:sz w:val="18"/>
              </w:rPr>
              <w:t>2</w:t>
            </w:r>
            <w:r w:rsidRPr="00492E8A">
              <w:rPr>
                <w:b/>
                <w:bCs/>
                <w:i/>
                <w:iCs/>
              </w:rPr>
              <w:t xml:space="preserve"> Auf Daten, die für die Aufgabenerfüllung zwingend erforderlich sind, kann in einem elektronischen Abrufverfahren zugegriffen werden.</w:t>
            </w:r>
          </w:p>
        </w:tc>
        <w:tc>
          <w:tcPr>
            <w:tcW w:w="6731" w:type="dxa"/>
          </w:tcPr>
          <w:p w14:paraId="775E360C" w14:textId="77777777" w:rsidR="00153C89" w:rsidRPr="00C815A5" w:rsidRDefault="00153C89" w:rsidP="0053482B">
            <w:pPr>
              <w:spacing w:line="280" w:lineRule="atLeast"/>
              <w:rPr>
                <w:lang w:val="de-DE"/>
              </w:rPr>
            </w:pPr>
          </w:p>
        </w:tc>
      </w:tr>
      <w:tr w:rsidR="00153C89" w:rsidRPr="00C815A5" w14:paraId="7BF05063" w14:textId="77777777" w:rsidTr="00153C89">
        <w:trPr>
          <w:cnfStyle w:val="000000100000" w:firstRow="0" w:lastRow="0" w:firstColumn="0" w:lastColumn="0" w:oddVBand="0" w:evenVBand="0" w:oddHBand="1" w:evenHBand="0" w:firstRowFirstColumn="0" w:firstRowLastColumn="0" w:lastRowFirstColumn="0" w:lastRowLastColumn="0"/>
          <w:trHeight w:val="1356"/>
        </w:trPr>
        <w:tc>
          <w:tcPr>
            <w:tcW w:w="6736" w:type="dxa"/>
          </w:tcPr>
          <w:p w14:paraId="2EF7D239" w14:textId="77777777" w:rsidR="00153C89" w:rsidRPr="00EA02CA" w:rsidRDefault="00153C89" w:rsidP="00EA02CA">
            <w:pPr>
              <w:pStyle w:val="SSSBAbsatz"/>
              <w:rPr>
                <w:b/>
                <w:bCs/>
                <w:i/>
                <w:iCs/>
              </w:rPr>
            </w:pPr>
            <w:r w:rsidRPr="00EA02CA">
              <w:rPr>
                <w:b/>
                <w:bCs/>
                <w:i/>
                <w:iCs/>
              </w:rPr>
              <w:t xml:space="preserve">4.  Abschnitt: Inkrafttreten </w:t>
            </w:r>
          </w:p>
          <w:p w14:paraId="74488F86" w14:textId="77777777" w:rsidR="00153C89" w:rsidRPr="00492E8A" w:rsidRDefault="00153C89" w:rsidP="0053482B">
            <w:pPr>
              <w:pStyle w:val="SSSBArtikel"/>
              <w:outlineLvl w:val="0"/>
              <w:rPr>
                <w:i/>
                <w:iCs/>
              </w:rPr>
            </w:pPr>
            <w:r w:rsidRPr="00492E8A">
              <w:rPr>
                <w:b/>
                <w:bCs/>
                <w:i/>
                <w:iCs/>
              </w:rPr>
              <w:t>Art. 14</w:t>
            </w:r>
            <w:r w:rsidRPr="00492E8A">
              <w:rPr>
                <w:i/>
                <w:iCs/>
              </w:rPr>
              <w:t>  </w:t>
            </w:r>
          </w:p>
          <w:p w14:paraId="1EB6F813" w14:textId="77777777" w:rsidR="00153C89" w:rsidRPr="00492E8A" w:rsidRDefault="00153C89" w:rsidP="0053482B">
            <w:pPr>
              <w:pStyle w:val="SSSBAbsatz"/>
              <w:rPr>
                <w:b/>
                <w:bCs/>
                <w:i/>
                <w:iCs/>
              </w:rPr>
            </w:pPr>
            <w:r w:rsidRPr="00492E8A">
              <w:rPr>
                <w:b/>
                <w:bCs/>
                <w:i/>
                <w:iCs/>
              </w:rPr>
              <w:t>Der Gemeinderat bestimmt den Zeitpunkt des Inkrafttretens dieses Reglements.</w:t>
            </w:r>
          </w:p>
        </w:tc>
        <w:tc>
          <w:tcPr>
            <w:tcW w:w="6731" w:type="dxa"/>
          </w:tcPr>
          <w:p w14:paraId="6C57B60F" w14:textId="77777777" w:rsidR="00153C89" w:rsidRPr="00C815A5" w:rsidRDefault="00153C89" w:rsidP="0053482B">
            <w:pPr>
              <w:spacing w:line="280" w:lineRule="atLeast"/>
              <w:rPr>
                <w:lang w:val="de-DE"/>
              </w:rPr>
            </w:pPr>
          </w:p>
        </w:tc>
      </w:tr>
    </w:tbl>
    <w:p w14:paraId="7CC1A778" w14:textId="07166727" w:rsidR="00EA02CA" w:rsidRDefault="00EA02CA" w:rsidP="00EA02CA">
      <w:pPr>
        <w:pStyle w:val="berschrift3"/>
      </w:pPr>
      <w:r w:rsidRPr="00074F29">
        <w:rPr>
          <w:lang w:val="de-DE"/>
        </w:rPr>
        <w:lastRenderedPageBreak/>
        <w:t>Reglement vom 30. März 2006 über das Schulwesen (Schulreglement; SR, SSSB 430.101)</w:t>
      </w:r>
      <w:r>
        <w:rPr>
          <w:lang w:val="de-DE"/>
        </w:rPr>
        <w:t>; Teilrevision</w:t>
      </w:r>
    </w:p>
    <w:tbl>
      <w:tblPr>
        <w:tblStyle w:val="EinfacheTabelle1"/>
        <w:tblW w:w="0" w:type="auto"/>
        <w:tblLayout w:type="fixed"/>
        <w:tblLook w:val="0420" w:firstRow="1" w:lastRow="0" w:firstColumn="0" w:lastColumn="0" w:noHBand="0" w:noVBand="1"/>
      </w:tblPr>
      <w:tblGrid>
        <w:gridCol w:w="4493"/>
        <w:gridCol w:w="4492"/>
        <w:gridCol w:w="4526"/>
      </w:tblGrid>
      <w:tr w:rsidR="00153C89" w14:paraId="64D34D13" w14:textId="77777777" w:rsidTr="00153C89">
        <w:trPr>
          <w:cnfStyle w:val="100000000000" w:firstRow="1" w:lastRow="0" w:firstColumn="0" w:lastColumn="0" w:oddVBand="0" w:evenVBand="0" w:oddHBand="0" w:evenHBand="0" w:firstRowFirstColumn="0" w:firstRowLastColumn="0" w:lastRowFirstColumn="0" w:lastRowLastColumn="0"/>
          <w:trHeight w:val="489"/>
          <w:tblHeader/>
        </w:trPr>
        <w:tc>
          <w:tcPr>
            <w:tcW w:w="4493" w:type="dxa"/>
          </w:tcPr>
          <w:p w14:paraId="1FBBE111" w14:textId="77777777" w:rsidR="00153C89" w:rsidRDefault="00153C89" w:rsidP="0053482B">
            <w:pPr>
              <w:spacing w:line="280" w:lineRule="atLeast"/>
              <w:rPr>
                <w:lang w:val="de-DE"/>
              </w:rPr>
            </w:pPr>
            <w:r>
              <w:rPr>
                <w:lang w:val="de-DE"/>
              </w:rPr>
              <w:t>SR bisher</w:t>
            </w:r>
          </w:p>
        </w:tc>
        <w:tc>
          <w:tcPr>
            <w:tcW w:w="4492" w:type="dxa"/>
          </w:tcPr>
          <w:p w14:paraId="05B604D3" w14:textId="631044D5" w:rsidR="00153C89" w:rsidRDefault="00153C89" w:rsidP="0053482B">
            <w:pPr>
              <w:spacing w:line="280" w:lineRule="atLeast"/>
              <w:rPr>
                <w:lang w:val="de-DE"/>
              </w:rPr>
            </w:pPr>
            <w:r>
              <w:rPr>
                <w:lang w:val="de-DE"/>
              </w:rPr>
              <w:t>SR neu</w:t>
            </w:r>
            <w:r w:rsidR="00EA02CA">
              <w:rPr>
                <w:lang w:val="de-DE"/>
              </w:rPr>
              <w:t xml:space="preserve"> / Antrag Gemeinderat</w:t>
            </w:r>
          </w:p>
        </w:tc>
        <w:tc>
          <w:tcPr>
            <w:tcW w:w="4526" w:type="dxa"/>
          </w:tcPr>
          <w:p w14:paraId="32E3B63F" w14:textId="77777777" w:rsidR="00153C89" w:rsidRDefault="00153C89" w:rsidP="0053482B">
            <w:pPr>
              <w:spacing w:line="280" w:lineRule="atLeast"/>
              <w:rPr>
                <w:lang w:val="de-DE"/>
              </w:rPr>
            </w:pPr>
            <w:r>
              <w:rPr>
                <w:lang w:val="de-DE"/>
              </w:rPr>
              <w:t>Anträge</w:t>
            </w:r>
          </w:p>
        </w:tc>
      </w:tr>
      <w:tr w:rsidR="00153C89" w14:paraId="081F6D01" w14:textId="77777777" w:rsidTr="0053482B">
        <w:trPr>
          <w:cnfStyle w:val="000000100000" w:firstRow="0" w:lastRow="0" w:firstColumn="0" w:lastColumn="0" w:oddVBand="0" w:evenVBand="0" w:oddHBand="1" w:evenHBand="0" w:firstRowFirstColumn="0" w:firstRowLastColumn="0" w:lastRowFirstColumn="0" w:lastRowLastColumn="0"/>
          <w:trHeight w:val="2201"/>
        </w:trPr>
        <w:tc>
          <w:tcPr>
            <w:tcW w:w="4493" w:type="dxa"/>
          </w:tcPr>
          <w:p w14:paraId="1940C8F7" w14:textId="77777777" w:rsidR="00153C89" w:rsidRPr="00810496" w:rsidRDefault="00153C89" w:rsidP="0053482B">
            <w:pPr>
              <w:spacing w:before="120" w:line="280" w:lineRule="atLeast"/>
            </w:pPr>
            <w:r w:rsidRPr="00810496">
              <w:t>Art. </w:t>
            </w:r>
            <w:proofErr w:type="gramStart"/>
            <w:r w:rsidRPr="00810496">
              <w:t>60  Schulzahnärztlicher</w:t>
            </w:r>
            <w:proofErr w:type="gramEnd"/>
            <w:r w:rsidRPr="00810496">
              <w:t xml:space="preserve"> Dienst</w:t>
            </w:r>
          </w:p>
          <w:p w14:paraId="56793564" w14:textId="1928370F" w:rsidR="00153C89" w:rsidRDefault="00153C89" w:rsidP="001D5E04">
            <w:pPr>
              <w:spacing w:line="280" w:lineRule="atLeast"/>
              <w:rPr>
                <w:lang w:val="de-DE"/>
              </w:rPr>
            </w:pPr>
            <w:r w:rsidRPr="00810496">
              <w:rPr>
                <w:vertAlign w:val="superscript"/>
              </w:rPr>
              <w:t>1</w:t>
            </w:r>
            <w:r w:rsidRPr="00810496">
              <w:t> Der städtische schulmedizinische Dienst gewährleistet den schulzahnärztlichen Dienst gemäss kantonaler Regelung.</w:t>
            </w:r>
          </w:p>
        </w:tc>
        <w:tc>
          <w:tcPr>
            <w:tcW w:w="4492" w:type="dxa"/>
          </w:tcPr>
          <w:p w14:paraId="030210BA" w14:textId="16C921E4" w:rsidR="00153C89" w:rsidRPr="003136B2" w:rsidRDefault="00153C89" w:rsidP="0053482B">
            <w:pPr>
              <w:pStyle w:val="SSSBArtikel"/>
              <w:spacing w:before="120"/>
              <w:outlineLvl w:val="0"/>
              <w:rPr>
                <w:spacing w:val="8"/>
              </w:rPr>
            </w:pPr>
            <w:r w:rsidRPr="001D5E04">
              <w:rPr>
                <w:spacing w:val="8"/>
              </w:rPr>
              <w:t>Art. </w:t>
            </w:r>
            <w:proofErr w:type="gramStart"/>
            <w:r w:rsidRPr="001D5E04">
              <w:rPr>
                <w:spacing w:val="8"/>
              </w:rPr>
              <w:t>60  </w:t>
            </w:r>
            <w:proofErr w:type="spellStart"/>
            <w:r w:rsidRPr="001D5E04">
              <w:rPr>
                <w:spacing w:val="8"/>
              </w:rPr>
              <w:t>Schul</w:t>
            </w:r>
            <w:r w:rsidRPr="00810496">
              <w:rPr>
                <w:iCs/>
                <w:strike/>
                <w:spacing w:val="8"/>
              </w:rPr>
              <w:t>zahnärtlicher</w:t>
            </w:r>
            <w:proofErr w:type="spellEnd"/>
            <w:proofErr w:type="gramEnd"/>
            <w:r w:rsidRPr="00810496">
              <w:rPr>
                <w:iCs/>
                <w:strike/>
                <w:spacing w:val="8"/>
              </w:rPr>
              <w:t xml:space="preserve"> Dienst</w:t>
            </w:r>
            <w:r w:rsidRPr="00020D6B">
              <w:rPr>
                <w:b/>
                <w:bCs/>
                <w:i/>
                <w:spacing w:val="8"/>
              </w:rPr>
              <w:t>zahnmedizin</w:t>
            </w:r>
          </w:p>
          <w:p w14:paraId="0148696B" w14:textId="7955641B" w:rsidR="00153C89" w:rsidRPr="00040092" w:rsidRDefault="00153C89" w:rsidP="0053482B">
            <w:pPr>
              <w:pStyle w:val="SSSBAbsatz"/>
              <w:keepNext/>
              <w:rPr>
                <w:spacing w:val="8"/>
              </w:rPr>
            </w:pPr>
            <w:r w:rsidRPr="00020D6B">
              <w:rPr>
                <w:position w:val="5"/>
                <w:sz w:val="18"/>
              </w:rPr>
              <w:t>1</w:t>
            </w:r>
            <w:r w:rsidRPr="00FE600B">
              <w:rPr>
                <w:i/>
                <w:iCs/>
              </w:rPr>
              <w:t> </w:t>
            </w:r>
            <w:proofErr w:type="spellStart"/>
            <w:r w:rsidRPr="00810496">
              <w:t>D</w:t>
            </w:r>
            <w:r w:rsidRPr="00810496">
              <w:rPr>
                <w:strike/>
              </w:rPr>
              <w:t>er</w:t>
            </w:r>
            <w:r w:rsidRPr="00810496">
              <w:rPr>
                <w:b/>
                <w:bCs/>
                <w:i/>
                <w:iCs/>
              </w:rPr>
              <w:t>ie</w:t>
            </w:r>
            <w:proofErr w:type="spellEnd"/>
            <w:r w:rsidRPr="00810496">
              <w:t xml:space="preserve"> städtische </w:t>
            </w:r>
            <w:r w:rsidRPr="00810496">
              <w:rPr>
                <w:strike/>
              </w:rPr>
              <w:t>schulmedizinische Dienst</w:t>
            </w:r>
            <w:r w:rsidRPr="00810496">
              <w:t xml:space="preserve"> </w:t>
            </w:r>
            <w:r w:rsidRPr="00810496">
              <w:rPr>
                <w:b/>
                <w:bCs/>
                <w:i/>
                <w:iCs/>
              </w:rPr>
              <w:t>Schulzahnmedizin</w:t>
            </w:r>
            <w:r>
              <w:t xml:space="preserve"> </w:t>
            </w:r>
            <w:r w:rsidRPr="00810496">
              <w:t xml:space="preserve">gewährleistet den schulzahnärztlichen Dienst </w:t>
            </w:r>
            <w:r w:rsidRPr="00492E8A">
              <w:rPr>
                <w:strike/>
              </w:rPr>
              <w:t>gemäss</w:t>
            </w:r>
            <w:r w:rsidRPr="00810496">
              <w:t xml:space="preserve"> </w:t>
            </w:r>
            <w:r w:rsidRPr="00492E8A">
              <w:rPr>
                <w:b/>
                <w:bCs/>
                <w:i/>
                <w:iCs/>
              </w:rPr>
              <w:t>nach</w:t>
            </w:r>
            <w:r>
              <w:t xml:space="preserve"> </w:t>
            </w:r>
            <w:r w:rsidRPr="00810496">
              <w:t>kantonaler Regelung</w:t>
            </w:r>
            <w:r w:rsidRPr="0007665E">
              <w:rPr>
                <w:b/>
                <w:bCs/>
                <w:i/>
                <w:iCs/>
                <w:spacing w:val="8"/>
              </w:rPr>
              <w:t xml:space="preserve"> und dem Reglement vom </w:t>
            </w:r>
            <w:r w:rsidR="001D5E04">
              <w:rPr>
                <w:b/>
                <w:bCs/>
                <w:i/>
                <w:iCs/>
                <w:spacing w:val="8"/>
              </w:rPr>
              <w:t>[Datum]</w:t>
            </w:r>
            <w:r w:rsidRPr="0007665E">
              <w:rPr>
                <w:b/>
                <w:bCs/>
                <w:i/>
                <w:iCs/>
                <w:spacing w:val="8"/>
              </w:rPr>
              <w:t xml:space="preserve"> über die Schulzahnmedizin</w:t>
            </w:r>
            <w:r w:rsidRPr="0007665E">
              <w:rPr>
                <w:spacing w:val="8"/>
              </w:rPr>
              <w:t>.</w:t>
            </w:r>
          </w:p>
        </w:tc>
        <w:tc>
          <w:tcPr>
            <w:tcW w:w="4526" w:type="dxa"/>
          </w:tcPr>
          <w:p w14:paraId="5200EA0A" w14:textId="77777777" w:rsidR="00153C89" w:rsidRPr="007D59EE" w:rsidRDefault="00153C89" w:rsidP="0053482B">
            <w:pPr>
              <w:spacing w:line="280" w:lineRule="atLeast"/>
              <w:rPr>
                <w:lang w:val="de-DE"/>
              </w:rPr>
            </w:pPr>
          </w:p>
        </w:tc>
      </w:tr>
      <w:tr w:rsidR="00153C89" w14:paraId="79A775F6" w14:textId="77777777" w:rsidTr="0053482B">
        <w:trPr>
          <w:trHeight w:val="1923"/>
        </w:trPr>
        <w:tc>
          <w:tcPr>
            <w:tcW w:w="4493" w:type="dxa"/>
          </w:tcPr>
          <w:p w14:paraId="38A56AE6" w14:textId="77777777" w:rsidR="00153C89" w:rsidRDefault="00153C89" w:rsidP="0053482B">
            <w:pPr>
              <w:spacing w:before="120" w:line="280" w:lineRule="atLeast"/>
              <w:rPr>
                <w:lang w:val="de-DE"/>
              </w:rPr>
            </w:pPr>
            <w:r w:rsidRPr="00810496">
              <w:rPr>
                <w:vertAlign w:val="superscript"/>
              </w:rPr>
              <w:t>2</w:t>
            </w:r>
            <w:r w:rsidRPr="00810496">
              <w:t> Die Stadt gewährt Kindern von Eltern oder mit gesetzlichen Vertreterinnen oder Vertretern in schwierigen finanziellen Verhältnissen Beiträge an die Behandlungskosten.</w:t>
            </w:r>
          </w:p>
        </w:tc>
        <w:tc>
          <w:tcPr>
            <w:tcW w:w="4492" w:type="dxa"/>
          </w:tcPr>
          <w:p w14:paraId="2DC59A46" w14:textId="36D4F904" w:rsidR="00153C89" w:rsidRPr="001D5E04" w:rsidRDefault="00153C89" w:rsidP="001D5E04">
            <w:pPr>
              <w:pStyle w:val="SSSBArtikel"/>
              <w:spacing w:before="120"/>
              <w:outlineLvl w:val="0"/>
              <w:rPr>
                <w:spacing w:val="8"/>
              </w:rPr>
            </w:pPr>
            <w:r>
              <w:rPr>
                <w:position w:val="5"/>
                <w:sz w:val="18"/>
              </w:rPr>
              <w:t>2</w:t>
            </w:r>
            <w:r>
              <w:t> </w:t>
            </w:r>
            <w:r w:rsidRPr="00254C25">
              <w:rPr>
                <w:bCs/>
                <w:iCs/>
                <w:spacing w:val="8"/>
              </w:rPr>
              <w:t>[aufgehoben</w:t>
            </w:r>
            <w:r>
              <w:rPr>
                <w:bCs/>
                <w:iCs/>
                <w:spacing w:val="8"/>
              </w:rPr>
              <w:t>]</w:t>
            </w:r>
          </w:p>
        </w:tc>
        <w:tc>
          <w:tcPr>
            <w:tcW w:w="4526" w:type="dxa"/>
          </w:tcPr>
          <w:sdt>
            <w:sdtPr>
              <w:rPr>
                <w:color w:val="C00000"/>
                <w:lang w:val="de-DE"/>
              </w:rPr>
              <w:id w:val="858240771"/>
              <w:placeholder>
                <w:docPart w:val="816764639A40404B91DA4099DBF1638B"/>
              </w:placeholder>
            </w:sdtPr>
            <w:sdtEndPr>
              <w:rPr>
                <w:color w:val="D50029"/>
              </w:rPr>
            </w:sdtEndPr>
            <w:sdtContent>
              <w:p w14:paraId="10BC3C4F" w14:textId="77777777" w:rsidR="00153C89" w:rsidRPr="00810496" w:rsidRDefault="00153C89" w:rsidP="0053482B">
                <w:pPr>
                  <w:spacing w:line="280" w:lineRule="atLeast"/>
                  <w:rPr>
                    <w:color w:val="D50029"/>
                    <w:lang w:val="de-DE"/>
                  </w:rPr>
                </w:pPr>
                <w:r>
                  <w:rPr>
                    <w:b/>
                    <w:bCs/>
                    <w:color w:val="D50029"/>
                    <w:lang w:val="de-DE"/>
                  </w:rPr>
                  <w:t>SBK</w:t>
                </w:r>
                <w:r w:rsidRPr="004B04F8">
                  <w:rPr>
                    <w:rStyle w:val="Funotenzeichen"/>
                    <w:b/>
                    <w:bCs/>
                    <w:color w:val="D50029"/>
                    <w:lang w:val="de-DE"/>
                  </w:rPr>
                  <w:footnoteReference w:id="1"/>
                </w:r>
                <w:r>
                  <w:rPr>
                    <w:b/>
                    <w:bCs/>
                    <w:color w:val="D50029"/>
                    <w:lang w:val="de-DE"/>
                  </w:rPr>
                  <w:t>:</w:t>
                </w:r>
              </w:p>
            </w:sdtContent>
          </w:sdt>
          <w:p w14:paraId="261FE48D" w14:textId="77777777" w:rsidR="00153C89" w:rsidRDefault="00153C89" w:rsidP="0053482B">
            <w:pPr>
              <w:spacing w:line="280" w:lineRule="atLeast"/>
              <w:rPr>
                <w:rFonts w:cstheme="minorHAnsi"/>
                <w:lang w:val="de-DE"/>
              </w:rPr>
            </w:pPr>
            <w:r w:rsidRPr="00EA02CA">
              <w:rPr>
                <w:sz w:val="24"/>
                <w:szCs w:val="24"/>
                <w:vertAlign w:val="superscript"/>
                <w:lang w:val="de-DE"/>
              </w:rPr>
              <w:t>2</w:t>
            </w:r>
            <w:r w:rsidRPr="00EA02CA">
              <w:rPr>
                <w:lang w:val="de-DE"/>
              </w:rPr>
              <w:t xml:space="preserve"> </w:t>
            </w:r>
            <w:r w:rsidR="00EA02CA" w:rsidRPr="00EA02CA">
              <w:rPr>
                <w:rFonts w:cstheme="minorHAnsi"/>
                <w:lang w:val="de-DE"/>
              </w:rPr>
              <w:t>[</w:t>
            </w:r>
            <w:r w:rsidR="00EA02CA" w:rsidRPr="00EA02CA">
              <w:rPr>
                <w:lang w:val="de-DE"/>
              </w:rPr>
              <w:t>unverändert</w:t>
            </w:r>
            <w:r w:rsidR="00EA02CA" w:rsidRPr="00EA02CA">
              <w:rPr>
                <w:rFonts w:cstheme="minorHAnsi"/>
                <w:lang w:val="de-DE"/>
              </w:rPr>
              <w:t>]</w:t>
            </w:r>
          </w:p>
          <w:p w14:paraId="15D41AD7" w14:textId="77777777" w:rsidR="00EA02CA" w:rsidRDefault="00EA02CA" w:rsidP="0053482B">
            <w:pPr>
              <w:spacing w:line="280" w:lineRule="atLeast"/>
              <w:rPr>
                <w:rFonts w:cstheme="minorHAnsi"/>
                <w:lang w:val="de-DE"/>
              </w:rPr>
            </w:pPr>
          </w:p>
          <w:p w14:paraId="03966BBE" w14:textId="77777777" w:rsidR="00EA02CA" w:rsidRDefault="00EA02CA" w:rsidP="0053482B">
            <w:pPr>
              <w:spacing w:line="280" w:lineRule="atLeast"/>
              <w:rPr>
                <w:rFonts w:cstheme="minorHAnsi"/>
                <w:lang w:val="de-DE"/>
              </w:rPr>
            </w:pPr>
          </w:p>
          <w:p w14:paraId="7DD31DCF" w14:textId="77777777" w:rsidR="00EA02CA" w:rsidRPr="00EA02CA" w:rsidRDefault="00EA02CA" w:rsidP="0053482B">
            <w:pPr>
              <w:spacing w:line="280" w:lineRule="atLeast"/>
              <w:rPr>
                <w:b/>
                <w:bCs/>
                <w:color w:val="D50029"/>
                <w:lang w:val="de-DE"/>
              </w:rPr>
            </w:pPr>
            <w:r w:rsidRPr="00EA02CA">
              <w:rPr>
                <w:b/>
                <w:bCs/>
                <w:color w:val="D50029"/>
                <w:lang w:val="de-DE"/>
              </w:rPr>
              <w:t>Gegenüberstellung</w:t>
            </w:r>
          </w:p>
          <w:p w14:paraId="70F8E7A4" w14:textId="77777777" w:rsidR="00EA02CA" w:rsidRPr="00EA02CA" w:rsidRDefault="00EA02CA" w:rsidP="00EA02CA">
            <w:pPr>
              <w:pStyle w:val="Listenabsatz"/>
              <w:numPr>
                <w:ilvl w:val="0"/>
                <w:numId w:val="20"/>
              </w:numPr>
              <w:rPr>
                <w:lang w:val="de-DE"/>
              </w:rPr>
            </w:pPr>
            <w:r w:rsidRPr="00EA02CA">
              <w:rPr>
                <w:lang w:val="de-DE"/>
              </w:rPr>
              <w:t>Antrag SBK</w:t>
            </w:r>
            <w:r w:rsidRPr="00EA02CA">
              <w:rPr>
                <w:lang w:val="de-DE"/>
              </w:rPr>
              <w:t xml:space="preserve"> vs. Antrag GR</w:t>
            </w:r>
          </w:p>
          <w:p w14:paraId="2062641D" w14:textId="6B71B272" w:rsidR="00EA02CA" w:rsidRPr="00EA02CA" w:rsidRDefault="00EA02CA" w:rsidP="00EA02CA">
            <w:pPr>
              <w:pStyle w:val="Listenabsatz"/>
              <w:numPr>
                <w:ilvl w:val="0"/>
                <w:numId w:val="20"/>
              </w:numPr>
              <w:rPr>
                <w:b/>
                <w:bCs/>
                <w:lang w:val="de-DE"/>
              </w:rPr>
            </w:pPr>
            <w:r w:rsidRPr="00EA02CA">
              <w:rPr>
                <w:lang w:val="de-DE"/>
              </w:rPr>
              <w:t>Abstimmung über obsiegenden Antrag</w:t>
            </w:r>
          </w:p>
        </w:tc>
      </w:tr>
      <w:tr w:rsidR="00153C89" w14:paraId="17D7CF28" w14:textId="77777777" w:rsidTr="0053482B">
        <w:trPr>
          <w:cnfStyle w:val="000000100000" w:firstRow="0" w:lastRow="0" w:firstColumn="0" w:lastColumn="0" w:oddVBand="0" w:evenVBand="0" w:oddHBand="1" w:evenHBand="0" w:firstRowFirstColumn="0" w:firstRowLastColumn="0" w:lastRowFirstColumn="0" w:lastRowLastColumn="0"/>
          <w:trHeight w:val="1214"/>
        </w:trPr>
        <w:tc>
          <w:tcPr>
            <w:tcW w:w="4493" w:type="dxa"/>
          </w:tcPr>
          <w:p w14:paraId="28655EDF" w14:textId="77777777" w:rsidR="00153C89" w:rsidRPr="00810496" w:rsidRDefault="00153C89" w:rsidP="0053482B">
            <w:pPr>
              <w:spacing w:before="120" w:line="280" w:lineRule="atLeast"/>
              <w:rPr>
                <w:vertAlign w:val="superscript"/>
              </w:rPr>
            </w:pPr>
          </w:p>
        </w:tc>
        <w:tc>
          <w:tcPr>
            <w:tcW w:w="4492" w:type="dxa"/>
          </w:tcPr>
          <w:p w14:paraId="53F55845" w14:textId="77777777" w:rsidR="00153C89" w:rsidRPr="00040092" w:rsidRDefault="00153C89" w:rsidP="0053482B">
            <w:pPr>
              <w:pStyle w:val="SSSBArtikel"/>
              <w:spacing w:before="120"/>
              <w:outlineLvl w:val="0"/>
              <w:rPr>
                <w:b/>
                <w:bCs/>
                <w:i/>
                <w:iCs/>
                <w:spacing w:val="8"/>
              </w:rPr>
            </w:pPr>
            <w:r w:rsidRPr="00B346F4">
              <w:rPr>
                <w:b/>
                <w:bCs/>
                <w:i/>
                <w:iCs/>
                <w:position w:val="5"/>
                <w:sz w:val="18"/>
              </w:rPr>
              <w:t>2bis</w:t>
            </w:r>
            <w:r>
              <w:t> </w:t>
            </w:r>
            <w:r w:rsidRPr="00580249">
              <w:rPr>
                <w:b/>
                <w:bCs/>
                <w:i/>
                <w:iCs/>
                <w:spacing w:val="8"/>
              </w:rPr>
              <w:t>Die öffentliche Volksschule führt mit ihren Schülerinnen und Schülern periodisches Zähneputzen unter Anleitung durch</w:t>
            </w:r>
            <w:r>
              <w:rPr>
                <w:b/>
                <w:bCs/>
                <w:i/>
                <w:iCs/>
                <w:spacing w:val="8"/>
              </w:rPr>
              <w:t>.</w:t>
            </w:r>
          </w:p>
        </w:tc>
        <w:tc>
          <w:tcPr>
            <w:tcW w:w="4526" w:type="dxa"/>
          </w:tcPr>
          <w:p w14:paraId="06481EF2" w14:textId="77777777" w:rsidR="00153C89" w:rsidRPr="00254C25" w:rsidRDefault="00153C89" w:rsidP="0053482B">
            <w:pPr>
              <w:spacing w:line="280" w:lineRule="atLeast"/>
              <w:rPr>
                <w:lang w:val="de-DE"/>
              </w:rPr>
            </w:pPr>
          </w:p>
        </w:tc>
      </w:tr>
      <w:tr w:rsidR="00153C89" w14:paraId="44C3713B" w14:textId="77777777" w:rsidTr="0053482B">
        <w:tc>
          <w:tcPr>
            <w:tcW w:w="4493" w:type="dxa"/>
          </w:tcPr>
          <w:p w14:paraId="4D32EF92" w14:textId="77777777" w:rsidR="00153C89" w:rsidRPr="00040092" w:rsidRDefault="00153C89" w:rsidP="0053482B">
            <w:pPr>
              <w:pStyle w:val="SSSBAbsatz"/>
              <w:rPr>
                <w:spacing w:val="8"/>
              </w:rPr>
            </w:pPr>
            <w:r w:rsidRPr="00810496">
              <w:rPr>
                <w:vertAlign w:val="superscript"/>
              </w:rPr>
              <w:t>3</w:t>
            </w:r>
            <w:r w:rsidRPr="00810496">
              <w:t> Der Gemeinderat regelt das Nähere.</w:t>
            </w:r>
          </w:p>
        </w:tc>
        <w:tc>
          <w:tcPr>
            <w:tcW w:w="4492" w:type="dxa"/>
          </w:tcPr>
          <w:p w14:paraId="361D9D2A" w14:textId="77777777" w:rsidR="00153C89" w:rsidRPr="00254C25" w:rsidRDefault="00153C89" w:rsidP="0053482B">
            <w:pPr>
              <w:pStyle w:val="SSSBArtikel"/>
              <w:spacing w:before="120"/>
              <w:outlineLvl w:val="0"/>
              <w:rPr>
                <w:spacing w:val="8"/>
              </w:rPr>
            </w:pPr>
            <w:r>
              <w:rPr>
                <w:position w:val="5"/>
                <w:sz w:val="18"/>
              </w:rPr>
              <w:t>3</w:t>
            </w:r>
            <w:r>
              <w:t> </w:t>
            </w:r>
            <w:r w:rsidRPr="00254C25">
              <w:rPr>
                <w:bCs/>
                <w:iCs/>
                <w:spacing w:val="8"/>
              </w:rPr>
              <w:t>[aufgehoben</w:t>
            </w:r>
            <w:r>
              <w:rPr>
                <w:bCs/>
                <w:iCs/>
                <w:spacing w:val="8"/>
              </w:rPr>
              <w:t>]</w:t>
            </w:r>
          </w:p>
        </w:tc>
        <w:tc>
          <w:tcPr>
            <w:tcW w:w="4526" w:type="dxa"/>
          </w:tcPr>
          <w:p w14:paraId="29232808" w14:textId="77777777" w:rsidR="00153C89" w:rsidRPr="00254C25" w:rsidRDefault="00153C89" w:rsidP="0053482B">
            <w:pPr>
              <w:spacing w:line="280" w:lineRule="atLeast"/>
              <w:rPr>
                <w:lang w:val="de-DE"/>
              </w:rPr>
            </w:pPr>
          </w:p>
        </w:tc>
      </w:tr>
      <w:tr w:rsidR="00153C89" w14:paraId="4576552C" w14:textId="77777777" w:rsidTr="0053482B">
        <w:trPr>
          <w:cnfStyle w:val="000000100000" w:firstRow="0" w:lastRow="0" w:firstColumn="0" w:lastColumn="0" w:oddVBand="0" w:evenVBand="0" w:oddHBand="1" w:evenHBand="0" w:firstRowFirstColumn="0" w:firstRowLastColumn="0" w:lastRowFirstColumn="0" w:lastRowLastColumn="0"/>
          <w:trHeight w:val="1544"/>
        </w:trPr>
        <w:tc>
          <w:tcPr>
            <w:tcW w:w="4493" w:type="dxa"/>
          </w:tcPr>
          <w:p w14:paraId="18DBB25D" w14:textId="77777777" w:rsidR="00153C89" w:rsidRPr="00040092" w:rsidRDefault="00153C89" w:rsidP="0053482B">
            <w:pPr>
              <w:pStyle w:val="SSSBAbsatz"/>
              <w:rPr>
                <w:spacing w:val="8"/>
              </w:rPr>
            </w:pPr>
            <w:r w:rsidRPr="00040092">
              <w:rPr>
                <w:spacing w:val="8"/>
              </w:rPr>
              <w:t xml:space="preserve">Art. </w:t>
            </w:r>
            <w:proofErr w:type="gramStart"/>
            <w:r w:rsidRPr="00040092">
              <w:rPr>
                <w:spacing w:val="8"/>
              </w:rPr>
              <w:t>70  Ausführungs</w:t>
            </w:r>
            <w:proofErr w:type="gramEnd"/>
            <w:r w:rsidRPr="00040092">
              <w:rPr>
                <w:spacing w:val="8"/>
              </w:rPr>
              <w:t>- und Übergangsbestimmungen</w:t>
            </w:r>
          </w:p>
          <w:p w14:paraId="3F5649AA" w14:textId="77777777" w:rsidR="00153C89" w:rsidRPr="00040092" w:rsidRDefault="00153C89" w:rsidP="0053482B">
            <w:pPr>
              <w:pStyle w:val="SSSBAbsatz"/>
              <w:rPr>
                <w:spacing w:val="8"/>
              </w:rPr>
            </w:pPr>
            <w:r w:rsidRPr="00062F9B">
              <w:rPr>
                <w:color w:val="auto"/>
                <w:spacing w:val="8"/>
                <w:sz w:val="28"/>
                <w:szCs w:val="28"/>
                <w:vertAlign w:val="superscript"/>
                <w:lang w:val="de-DE" w:eastAsia="en-US"/>
              </w:rPr>
              <w:t xml:space="preserve">1 </w:t>
            </w:r>
            <w:r w:rsidRPr="00040092">
              <w:rPr>
                <w:spacing w:val="8"/>
              </w:rPr>
              <w:t xml:space="preserve">Der Gemeinderat erlässt in Form einer Verordnung die erforderlichen </w:t>
            </w:r>
            <w:r w:rsidRPr="00040092">
              <w:rPr>
                <w:spacing w:val="8"/>
              </w:rPr>
              <w:lastRenderedPageBreak/>
              <w:t>Ausführungsbestimmungen zu diesem Reglement.</w:t>
            </w:r>
          </w:p>
          <w:p w14:paraId="6C54DB38" w14:textId="77777777" w:rsidR="00153C89" w:rsidRPr="00040092" w:rsidRDefault="00153C89" w:rsidP="0053482B">
            <w:pPr>
              <w:pStyle w:val="SSSBAbsatz"/>
              <w:rPr>
                <w:spacing w:val="8"/>
              </w:rPr>
            </w:pPr>
            <w:r w:rsidRPr="00062F9B">
              <w:rPr>
                <w:color w:val="auto"/>
                <w:spacing w:val="8"/>
                <w:sz w:val="28"/>
                <w:szCs w:val="28"/>
                <w:vertAlign w:val="superscript"/>
                <w:lang w:val="de-DE" w:eastAsia="en-US"/>
              </w:rPr>
              <w:t>2</w:t>
            </w:r>
            <w:r w:rsidRPr="00040092">
              <w:rPr>
                <w:spacing w:val="8"/>
              </w:rPr>
              <w:t xml:space="preserve"> Er regelt soweit erforderlich namentlich Einzelheiten betreffend:</w:t>
            </w:r>
            <w:r w:rsidRPr="00040092">
              <w:rPr>
                <w:spacing w:val="8"/>
              </w:rPr>
              <w:tab/>
            </w:r>
          </w:p>
          <w:p w14:paraId="0E6AD2BB" w14:textId="77777777" w:rsidR="00153C89" w:rsidRPr="00040092" w:rsidRDefault="00153C89" w:rsidP="0053482B">
            <w:pPr>
              <w:pStyle w:val="SSSBAbsatz"/>
              <w:tabs>
                <w:tab w:val="left" w:pos="570"/>
              </w:tabs>
              <w:ind w:left="589" w:hanging="425"/>
              <w:rPr>
                <w:spacing w:val="8"/>
              </w:rPr>
            </w:pPr>
            <w:r w:rsidRPr="00040092">
              <w:rPr>
                <w:spacing w:val="8"/>
              </w:rPr>
              <w:t xml:space="preserve">a. </w:t>
            </w:r>
            <w:r>
              <w:rPr>
                <w:spacing w:val="8"/>
              </w:rPr>
              <w:tab/>
            </w:r>
            <w:r w:rsidRPr="00040092">
              <w:rPr>
                <w:spacing w:val="8"/>
              </w:rPr>
              <w:t>die Schulkreise, die Schulleitungen und die Konferenz der Schulleitungen sowie die Entschädigungen für die Mitwirkung in den Schulorganen;</w:t>
            </w:r>
          </w:p>
          <w:p w14:paraId="33230C41" w14:textId="77777777" w:rsidR="00153C89" w:rsidRPr="00040092" w:rsidRDefault="00153C89" w:rsidP="0053482B">
            <w:pPr>
              <w:pStyle w:val="SSSBAbsatz"/>
              <w:tabs>
                <w:tab w:val="left" w:pos="570"/>
              </w:tabs>
              <w:ind w:left="589" w:hanging="425"/>
              <w:rPr>
                <w:spacing w:val="8"/>
              </w:rPr>
            </w:pPr>
            <w:r w:rsidRPr="00040092">
              <w:rPr>
                <w:spacing w:val="8"/>
              </w:rPr>
              <w:t>b.</w:t>
            </w:r>
            <w:r>
              <w:rPr>
                <w:spacing w:val="8"/>
              </w:rPr>
              <w:tab/>
            </w:r>
            <w:r w:rsidRPr="00040092">
              <w:rPr>
                <w:spacing w:val="8"/>
              </w:rPr>
              <w:t>die Mitwirkung der Eltern (Art. 55-56)</w:t>
            </w:r>
            <w:r>
              <w:rPr>
                <w:spacing w:val="8"/>
              </w:rPr>
              <w:t>;</w:t>
            </w:r>
          </w:p>
          <w:p w14:paraId="6299D58E" w14:textId="77777777" w:rsidR="00153C89" w:rsidRPr="00040092" w:rsidRDefault="00153C89" w:rsidP="0053482B">
            <w:pPr>
              <w:pStyle w:val="SSSBAbsatz"/>
              <w:tabs>
                <w:tab w:val="left" w:pos="570"/>
              </w:tabs>
              <w:ind w:left="589" w:hanging="425"/>
              <w:rPr>
                <w:spacing w:val="8"/>
              </w:rPr>
            </w:pPr>
            <w:r w:rsidRPr="00040092">
              <w:rPr>
                <w:spacing w:val="8"/>
              </w:rPr>
              <w:t>c.</w:t>
            </w:r>
            <w:r>
              <w:rPr>
                <w:spacing w:val="8"/>
              </w:rPr>
              <w:tab/>
            </w:r>
            <w:r w:rsidRPr="00040092">
              <w:rPr>
                <w:spacing w:val="8"/>
              </w:rPr>
              <w:t>den schulzahnärztlichen Dienst (Art. 60);</w:t>
            </w:r>
          </w:p>
          <w:p w14:paraId="42A28E6A" w14:textId="77777777" w:rsidR="00153C89" w:rsidRPr="00040092" w:rsidRDefault="00153C89" w:rsidP="0053482B">
            <w:pPr>
              <w:pStyle w:val="SSSBAbsatz"/>
              <w:tabs>
                <w:tab w:val="left" w:pos="570"/>
              </w:tabs>
              <w:ind w:left="589" w:hanging="425"/>
              <w:rPr>
                <w:spacing w:val="8"/>
              </w:rPr>
            </w:pPr>
            <w:r w:rsidRPr="00040092">
              <w:rPr>
                <w:spacing w:val="8"/>
              </w:rPr>
              <w:t xml:space="preserve">d. </w:t>
            </w:r>
            <w:r>
              <w:rPr>
                <w:spacing w:val="8"/>
              </w:rPr>
              <w:tab/>
            </w:r>
            <w:r w:rsidRPr="00040092">
              <w:rPr>
                <w:spacing w:val="8"/>
              </w:rPr>
              <w:t>die Tagesbetreuung (Art. 60a-60k), namentlich die einzelnen Angebote, den Betreuungsschlüssel, die Organisation und die Zuständigkeiten der Leitung Tagesbetreuung und die Gebühren.</w:t>
            </w:r>
          </w:p>
          <w:p w14:paraId="713E4C93" w14:textId="77777777" w:rsidR="00153C89" w:rsidRPr="00040092" w:rsidRDefault="00153C89" w:rsidP="0053482B">
            <w:pPr>
              <w:pStyle w:val="SSSBAbsatz"/>
              <w:rPr>
                <w:spacing w:val="8"/>
              </w:rPr>
            </w:pPr>
            <w:r w:rsidRPr="00062F9B">
              <w:rPr>
                <w:color w:val="auto"/>
                <w:spacing w:val="8"/>
                <w:sz w:val="28"/>
                <w:szCs w:val="28"/>
                <w:vertAlign w:val="superscript"/>
                <w:lang w:val="de-DE" w:eastAsia="en-US"/>
              </w:rPr>
              <w:t xml:space="preserve">3 </w:t>
            </w:r>
            <w:r w:rsidRPr="00040092">
              <w:rPr>
                <w:spacing w:val="8"/>
              </w:rPr>
              <w:t>Die Löhne der Mitarbeitenden der Tagesbetreuung sind schrittweise innert 4 Jahren auf das Niveau der bisherigen Mitarbeitenden der Tagesstätten (</w:t>
            </w:r>
            <w:proofErr w:type="spellStart"/>
            <w:r w:rsidRPr="00040092">
              <w:rPr>
                <w:spacing w:val="8"/>
              </w:rPr>
              <w:t>Tagis</w:t>
            </w:r>
            <w:proofErr w:type="spellEnd"/>
            <w:r w:rsidRPr="00040092">
              <w:rPr>
                <w:spacing w:val="8"/>
              </w:rPr>
              <w:t>) anzuheben. Die dafür notwendigen finanziellen Ressourcen sind im IAFP einzustellen.</w:t>
            </w:r>
          </w:p>
          <w:p w14:paraId="7E0C9BF5" w14:textId="77777777" w:rsidR="00153C89" w:rsidRPr="00040092" w:rsidRDefault="00153C89" w:rsidP="0053482B">
            <w:pPr>
              <w:pStyle w:val="SSSBAbsatz"/>
              <w:rPr>
                <w:spacing w:val="8"/>
              </w:rPr>
            </w:pPr>
            <w:r w:rsidRPr="00062F9B">
              <w:rPr>
                <w:color w:val="auto"/>
                <w:spacing w:val="8"/>
                <w:sz w:val="28"/>
                <w:szCs w:val="28"/>
                <w:vertAlign w:val="superscript"/>
                <w:lang w:val="de-DE" w:eastAsia="en-US"/>
              </w:rPr>
              <w:t>3a</w:t>
            </w:r>
            <w:r w:rsidRPr="00040092">
              <w:rPr>
                <w:spacing w:val="8"/>
              </w:rPr>
              <w:t xml:space="preserve"> Das Pensum der Mitarbeitenden der besonderen Volksschule wird ab dem 1. August 2024 nach der Gesetzgebung über die Lehreranstellung berechnet.</w:t>
            </w:r>
          </w:p>
          <w:p w14:paraId="44C8103F" w14:textId="77777777" w:rsidR="00153C89" w:rsidRPr="00040092" w:rsidRDefault="00153C89" w:rsidP="0053482B">
            <w:pPr>
              <w:pStyle w:val="SSSBAbsatz"/>
              <w:rPr>
                <w:spacing w:val="8"/>
              </w:rPr>
            </w:pPr>
            <w:r w:rsidRPr="00062F9B">
              <w:rPr>
                <w:color w:val="auto"/>
                <w:spacing w:val="8"/>
                <w:sz w:val="28"/>
                <w:szCs w:val="28"/>
                <w:vertAlign w:val="superscript"/>
                <w:lang w:val="de-DE" w:eastAsia="en-US"/>
              </w:rPr>
              <w:lastRenderedPageBreak/>
              <w:t>4</w:t>
            </w:r>
            <w:r w:rsidRPr="00040092">
              <w:rPr>
                <w:spacing w:val="8"/>
              </w:rPr>
              <w:t xml:space="preserve"> Der Betreuungsschlüssel wird schrittweise innert 4 Jahren demjenigen der bisherigen Tagesstätten (</w:t>
            </w:r>
            <w:proofErr w:type="spellStart"/>
            <w:r w:rsidRPr="00040092">
              <w:rPr>
                <w:spacing w:val="8"/>
              </w:rPr>
              <w:t>Tagis</w:t>
            </w:r>
            <w:proofErr w:type="spellEnd"/>
            <w:r w:rsidRPr="00040092">
              <w:rPr>
                <w:spacing w:val="8"/>
              </w:rPr>
              <w:t>) angepasst.</w:t>
            </w:r>
          </w:p>
          <w:p w14:paraId="4A241FAC" w14:textId="77777777" w:rsidR="00153C89" w:rsidRPr="007C6164" w:rsidRDefault="00153C89" w:rsidP="0053482B">
            <w:pPr>
              <w:pStyle w:val="SSSBAbsatz"/>
              <w:rPr>
                <w:spacing w:val="8"/>
              </w:rPr>
            </w:pPr>
            <w:r w:rsidRPr="00062F9B">
              <w:rPr>
                <w:color w:val="auto"/>
                <w:spacing w:val="8"/>
                <w:sz w:val="28"/>
                <w:szCs w:val="28"/>
                <w:vertAlign w:val="superscript"/>
                <w:lang w:val="de-DE" w:eastAsia="en-US"/>
              </w:rPr>
              <w:t>5</w:t>
            </w:r>
            <w:r w:rsidRPr="00040092">
              <w:rPr>
                <w:spacing w:val="8"/>
              </w:rPr>
              <w:t xml:space="preserve"> Der Gemeinderat bestimmt die Einzelheiten der Organisation in einem Funktionendiagramm</w:t>
            </w:r>
            <w:r>
              <w:rPr>
                <w:spacing w:val="8"/>
              </w:rPr>
              <w:t>.</w:t>
            </w:r>
          </w:p>
        </w:tc>
        <w:tc>
          <w:tcPr>
            <w:tcW w:w="4492" w:type="dxa"/>
          </w:tcPr>
          <w:p w14:paraId="66DFDAB4" w14:textId="77777777" w:rsidR="00153C89" w:rsidRPr="0007665E" w:rsidRDefault="00153C89" w:rsidP="0053482B">
            <w:pPr>
              <w:pStyle w:val="SSSBAbsatz"/>
              <w:rPr>
                <w:spacing w:val="8"/>
              </w:rPr>
            </w:pPr>
            <w:r w:rsidRPr="00040092">
              <w:lastRenderedPageBreak/>
              <w:t>Art. </w:t>
            </w:r>
            <w:proofErr w:type="gramStart"/>
            <w:r w:rsidRPr="00040092">
              <w:t>70</w:t>
            </w:r>
            <w:r>
              <w:t>  </w:t>
            </w:r>
            <w:r w:rsidRPr="0007665E">
              <w:rPr>
                <w:spacing w:val="8"/>
              </w:rPr>
              <w:t>Ausführungs</w:t>
            </w:r>
            <w:proofErr w:type="gramEnd"/>
            <w:r w:rsidRPr="0007665E">
              <w:rPr>
                <w:spacing w:val="8"/>
              </w:rPr>
              <w:t>- und Übergangsbestimmungen</w:t>
            </w:r>
          </w:p>
          <w:p w14:paraId="34D627B3" w14:textId="77777777" w:rsidR="00153C89" w:rsidRDefault="00153C89" w:rsidP="0053482B">
            <w:pPr>
              <w:pStyle w:val="SSSBAbsatz"/>
              <w:rPr>
                <w:spacing w:val="8"/>
              </w:rPr>
            </w:pPr>
            <w:r w:rsidRPr="0007665E">
              <w:rPr>
                <w:spacing w:val="8"/>
                <w:position w:val="5"/>
                <w:sz w:val="18"/>
              </w:rPr>
              <w:t>1</w:t>
            </w:r>
            <w:r w:rsidRPr="0007665E">
              <w:rPr>
                <w:spacing w:val="8"/>
              </w:rPr>
              <w:t> </w:t>
            </w:r>
            <w:r>
              <w:rPr>
                <w:spacing w:val="8"/>
              </w:rPr>
              <w:t>[unverändert]</w:t>
            </w:r>
          </w:p>
          <w:p w14:paraId="16BDBE9E" w14:textId="77777777" w:rsidR="00153C89" w:rsidRPr="0007665E" w:rsidRDefault="00153C89" w:rsidP="0053482B">
            <w:pPr>
              <w:pStyle w:val="SSSBAbsatz"/>
              <w:keepNext/>
              <w:rPr>
                <w:spacing w:val="8"/>
              </w:rPr>
            </w:pPr>
            <w:r w:rsidRPr="0007665E">
              <w:rPr>
                <w:spacing w:val="8"/>
                <w:position w:val="5"/>
                <w:sz w:val="18"/>
              </w:rPr>
              <w:lastRenderedPageBreak/>
              <w:t>2</w:t>
            </w:r>
            <w:r w:rsidRPr="0007665E">
              <w:rPr>
                <w:spacing w:val="8"/>
              </w:rPr>
              <w:t> Er regelt soweit erforderlich namentlich Einzelheiten betreffend:</w:t>
            </w:r>
          </w:p>
          <w:p w14:paraId="08467CE8" w14:textId="77777777" w:rsidR="00153C89" w:rsidRPr="0007665E" w:rsidRDefault="00153C89" w:rsidP="0053482B">
            <w:pPr>
              <w:pStyle w:val="SSSBBuchstabe"/>
              <w:rPr>
                <w:spacing w:val="8"/>
              </w:rPr>
            </w:pPr>
            <w:r w:rsidRPr="0007665E">
              <w:rPr>
                <w:spacing w:val="8"/>
              </w:rPr>
              <w:t>a.</w:t>
            </w:r>
            <w:r w:rsidRPr="0007665E">
              <w:rPr>
                <w:spacing w:val="8"/>
              </w:rPr>
              <w:tab/>
              <w:t>die Schulkreise, die Schulleitungen und die Konferenz der Schulleitungen sowie die Entschädigungen für die Mitwirkung in den Schulorganen;</w:t>
            </w:r>
          </w:p>
          <w:p w14:paraId="13328B07" w14:textId="77777777" w:rsidR="00153C89" w:rsidRPr="0007665E" w:rsidRDefault="00153C89" w:rsidP="0053482B">
            <w:pPr>
              <w:pStyle w:val="SSSBBuchstabe"/>
              <w:rPr>
                <w:spacing w:val="8"/>
              </w:rPr>
            </w:pPr>
            <w:r w:rsidRPr="0007665E">
              <w:rPr>
                <w:spacing w:val="8"/>
              </w:rPr>
              <w:t>b.</w:t>
            </w:r>
            <w:r w:rsidRPr="0007665E">
              <w:rPr>
                <w:spacing w:val="8"/>
              </w:rPr>
              <w:tab/>
              <w:t>die Mitwirkung der Eltern (Art. 55-56);</w:t>
            </w:r>
          </w:p>
          <w:p w14:paraId="150C4E9B" w14:textId="75D70CAB" w:rsidR="00153C89" w:rsidRPr="0007665E" w:rsidRDefault="00153C89" w:rsidP="0053482B">
            <w:pPr>
              <w:pStyle w:val="SSSBBuchstabe"/>
              <w:rPr>
                <w:spacing w:val="8"/>
              </w:rPr>
            </w:pPr>
            <w:r w:rsidRPr="0007665E">
              <w:rPr>
                <w:spacing w:val="8"/>
              </w:rPr>
              <w:t>c.</w:t>
            </w:r>
            <w:r w:rsidRPr="0007665E">
              <w:rPr>
                <w:spacing w:val="8"/>
              </w:rPr>
              <w:tab/>
            </w:r>
            <w:r>
              <w:rPr>
                <w:spacing w:val="8"/>
              </w:rPr>
              <w:t>[aufgehoben]</w:t>
            </w:r>
          </w:p>
          <w:p w14:paraId="14305997" w14:textId="77777777" w:rsidR="00153C89" w:rsidRDefault="00153C89" w:rsidP="0053482B">
            <w:pPr>
              <w:pStyle w:val="SSSBBuchstabe"/>
              <w:rPr>
                <w:spacing w:val="8"/>
              </w:rPr>
            </w:pPr>
            <w:r w:rsidRPr="0007665E">
              <w:rPr>
                <w:spacing w:val="8"/>
              </w:rPr>
              <w:t>d.</w:t>
            </w:r>
            <w:r w:rsidRPr="0007665E">
              <w:rPr>
                <w:spacing w:val="8"/>
              </w:rPr>
              <w:tab/>
              <w:t>die Tagesbetreuung (Art. 60a-60k), namentlich die einzelnen Angebote, den Betreuungsschlüssel, die Organisation und die Zuständigkeiten der Leitung Tagesbetreuung und die Gebühren.</w:t>
            </w:r>
          </w:p>
          <w:p w14:paraId="2BC688E0" w14:textId="3CAFF865" w:rsidR="00153C89" w:rsidRPr="00EA02CA" w:rsidRDefault="00153C89" w:rsidP="00EA02CA">
            <w:pPr>
              <w:pStyle w:val="SSSBBuchstabe"/>
              <w:ind w:hanging="638"/>
              <w:rPr>
                <w:spacing w:val="8"/>
              </w:rPr>
            </w:pPr>
            <w:r w:rsidRPr="000E39E1">
              <w:rPr>
                <w:spacing w:val="8"/>
                <w:sz w:val="28"/>
                <w:szCs w:val="28"/>
                <w:vertAlign w:val="superscript"/>
              </w:rPr>
              <w:t>3-5</w:t>
            </w:r>
            <w:r>
              <w:rPr>
                <w:spacing w:val="8"/>
              </w:rPr>
              <w:t xml:space="preserve"> [</w:t>
            </w:r>
            <w:r w:rsidRPr="0007665E">
              <w:rPr>
                <w:spacing w:val="8"/>
              </w:rPr>
              <w:t>unverändert</w:t>
            </w:r>
            <w:r>
              <w:rPr>
                <w:spacing w:val="8"/>
              </w:rPr>
              <w:t>]</w:t>
            </w:r>
          </w:p>
        </w:tc>
        <w:tc>
          <w:tcPr>
            <w:tcW w:w="4526" w:type="dxa"/>
          </w:tcPr>
          <w:p w14:paraId="7A7DC187" w14:textId="77777777" w:rsidR="00153C89" w:rsidRPr="00254C25" w:rsidRDefault="00153C89" w:rsidP="0053482B">
            <w:pPr>
              <w:spacing w:line="280" w:lineRule="atLeast"/>
              <w:rPr>
                <w:lang w:val="de-DE"/>
              </w:rPr>
            </w:pPr>
          </w:p>
        </w:tc>
      </w:tr>
    </w:tbl>
    <w:p w14:paraId="24B46CBE" w14:textId="53A2A9AF" w:rsidR="00153C89" w:rsidRPr="003B5E0D" w:rsidRDefault="00153C89" w:rsidP="00EA02CA">
      <w:pPr>
        <w:pStyle w:val="berschrift3"/>
      </w:pPr>
      <w:r w:rsidRPr="003B5E0D">
        <w:lastRenderedPageBreak/>
        <w:t xml:space="preserve">Das Reglement vom 21. Mai 2000 über die Gebührenerhebung durch die Stadtverwaltung Bern (Gebührenreglement; </w:t>
      </w:r>
      <w:proofErr w:type="spellStart"/>
      <w:r w:rsidRPr="003B5E0D">
        <w:t>GebR</w:t>
      </w:r>
      <w:proofErr w:type="spellEnd"/>
      <w:r w:rsidRPr="003B5E0D">
        <w:t>; SSSB 154.11</w:t>
      </w:r>
      <w:r w:rsidR="00EA02CA">
        <w:t>; Teilrevision</w:t>
      </w:r>
    </w:p>
    <w:tbl>
      <w:tblPr>
        <w:tblStyle w:val="EinfacheTabelle1"/>
        <w:tblW w:w="5000" w:type="pct"/>
        <w:tblLook w:val="0420" w:firstRow="1" w:lastRow="0" w:firstColumn="0" w:lastColumn="0" w:noHBand="0" w:noVBand="1"/>
      </w:tblPr>
      <w:tblGrid>
        <w:gridCol w:w="4494"/>
        <w:gridCol w:w="4491"/>
        <w:gridCol w:w="4526"/>
      </w:tblGrid>
      <w:tr w:rsidR="00153C89" w14:paraId="529F0AF3" w14:textId="77777777" w:rsidTr="00153C89">
        <w:trPr>
          <w:cnfStyle w:val="100000000000" w:firstRow="1" w:lastRow="0" w:firstColumn="0" w:lastColumn="0" w:oddVBand="0" w:evenVBand="0" w:oddHBand="0" w:evenHBand="0" w:firstRowFirstColumn="0" w:firstRowLastColumn="0" w:lastRowFirstColumn="0" w:lastRowLastColumn="0"/>
          <w:trHeight w:val="489"/>
          <w:tblHeader/>
        </w:trPr>
        <w:tc>
          <w:tcPr>
            <w:tcW w:w="1663" w:type="pct"/>
          </w:tcPr>
          <w:p w14:paraId="503FD099" w14:textId="77777777" w:rsidR="00153C89" w:rsidRDefault="00153C89" w:rsidP="0053482B">
            <w:pPr>
              <w:spacing w:line="280" w:lineRule="atLeast"/>
              <w:rPr>
                <w:lang w:val="de-DE"/>
              </w:rPr>
            </w:pPr>
            <w:proofErr w:type="spellStart"/>
            <w:r>
              <w:rPr>
                <w:lang w:val="de-DE"/>
              </w:rPr>
              <w:t>GebR</w:t>
            </w:r>
            <w:proofErr w:type="spellEnd"/>
            <w:r>
              <w:rPr>
                <w:lang w:val="de-DE"/>
              </w:rPr>
              <w:t>; bisher</w:t>
            </w:r>
          </w:p>
        </w:tc>
        <w:tc>
          <w:tcPr>
            <w:tcW w:w="1662" w:type="pct"/>
          </w:tcPr>
          <w:p w14:paraId="3B325061" w14:textId="2E8438BA" w:rsidR="00153C89" w:rsidRDefault="00153C89" w:rsidP="0053482B">
            <w:pPr>
              <w:spacing w:line="280" w:lineRule="atLeast"/>
              <w:rPr>
                <w:lang w:val="de-DE"/>
              </w:rPr>
            </w:pPr>
            <w:proofErr w:type="spellStart"/>
            <w:r>
              <w:rPr>
                <w:lang w:val="de-DE"/>
              </w:rPr>
              <w:t>GebR</w:t>
            </w:r>
            <w:proofErr w:type="spellEnd"/>
            <w:r>
              <w:rPr>
                <w:lang w:val="de-DE"/>
              </w:rPr>
              <w:t>; neu</w:t>
            </w:r>
            <w:r w:rsidR="00EA02CA">
              <w:rPr>
                <w:lang w:val="de-DE"/>
              </w:rPr>
              <w:t xml:space="preserve"> / Antrag Gemeinderat</w:t>
            </w:r>
          </w:p>
        </w:tc>
        <w:tc>
          <w:tcPr>
            <w:tcW w:w="1675" w:type="pct"/>
          </w:tcPr>
          <w:p w14:paraId="14426811" w14:textId="77777777" w:rsidR="00153C89" w:rsidRDefault="00153C89" w:rsidP="0053482B">
            <w:pPr>
              <w:spacing w:line="280" w:lineRule="atLeast"/>
              <w:rPr>
                <w:lang w:val="de-DE"/>
              </w:rPr>
            </w:pPr>
            <w:r>
              <w:rPr>
                <w:lang w:val="de-DE"/>
              </w:rPr>
              <w:t>Anträge</w:t>
            </w:r>
          </w:p>
        </w:tc>
      </w:tr>
      <w:tr w:rsidR="00153C89" w14:paraId="429B79CF" w14:textId="77777777" w:rsidTr="0053482B">
        <w:trPr>
          <w:cnfStyle w:val="000000100000" w:firstRow="0" w:lastRow="0" w:firstColumn="0" w:lastColumn="0" w:oddVBand="0" w:evenVBand="0" w:oddHBand="1" w:evenHBand="0" w:firstRowFirstColumn="0" w:firstRowLastColumn="0" w:lastRowFirstColumn="0" w:lastRowLastColumn="0"/>
          <w:trHeight w:val="2065"/>
        </w:trPr>
        <w:tc>
          <w:tcPr>
            <w:tcW w:w="1663" w:type="pct"/>
          </w:tcPr>
          <w:p w14:paraId="3A73DDA6" w14:textId="77777777" w:rsidR="00153C89" w:rsidRPr="00EA02CA" w:rsidRDefault="00153C89" w:rsidP="0053482B">
            <w:pPr>
              <w:spacing w:line="280" w:lineRule="atLeast"/>
            </w:pPr>
            <w:r w:rsidRPr="00EA02CA">
              <w:t>Anhang IV</w:t>
            </w:r>
          </w:p>
          <w:p w14:paraId="0A0B0D30" w14:textId="77777777" w:rsidR="00153C89" w:rsidRPr="00EA02CA" w:rsidRDefault="00153C89" w:rsidP="0053482B">
            <w:pPr>
              <w:spacing w:line="280" w:lineRule="atLeast"/>
            </w:pPr>
            <w:r w:rsidRPr="00EA02CA">
              <w:t>Gebührentarif der Direktion für Bildung, Soziales und Sport</w:t>
            </w:r>
          </w:p>
          <w:p w14:paraId="6505A2C8" w14:textId="77777777" w:rsidR="00153C89" w:rsidRPr="00EA02CA" w:rsidRDefault="00153C89" w:rsidP="0053482B">
            <w:pPr>
              <w:spacing w:line="280" w:lineRule="atLeast"/>
            </w:pPr>
          </w:p>
          <w:p w14:paraId="2442C347" w14:textId="77777777" w:rsidR="00153C89" w:rsidRPr="00EA02CA" w:rsidRDefault="00153C89" w:rsidP="0053482B">
            <w:pPr>
              <w:spacing w:line="280" w:lineRule="atLeast"/>
            </w:pPr>
            <w:r w:rsidRPr="00EA02CA">
              <w:t xml:space="preserve">Nachstehend sind </w:t>
            </w:r>
            <w:proofErr w:type="gramStart"/>
            <w:r w:rsidRPr="00EA02CA">
              <w:t>ausschliesslich die Gebühren</w:t>
            </w:r>
            <w:proofErr w:type="gramEnd"/>
            <w:r w:rsidRPr="00EA02CA">
              <w:t xml:space="preserve"> für hoheitlich erbrachte Leistungen aufgeführt. Leistungen im nichthoheitlichen Bereich erfolgen auf vertraglicher Basis und sind gemäss vertraglicher Vereinbarung zu entgelten.</w:t>
            </w:r>
          </w:p>
          <w:tbl>
            <w:tblPr>
              <w:tblW w:w="0" w:type="auto"/>
              <w:tblCellMar>
                <w:top w:w="15" w:type="dxa"/>
                <w:left w:w="15" w:type="dxa"/>
                <w:bottom w:w="15" w:type="dxa"/>
                <w:right w:w="15" w:type="dxa"/>
              </w:tblCellMar>
              <w:tblLook w:val="04A0" w:firstRow="1" w:lastRow="0" w:firstColumn="1" w:lastColumn="0" w:noHBand="0" w:noVBand="1"/>
            </w:tblPr>
            <w:tblGrid>
              <w:gridCol w:w="504"/>
              <w:gridCol w:w="3630"/>
              <w:gridCol w:w="144"/>
            </w:tblGrid>
            <w:tr w:rsidR="00153C89" w:rsidRPr="00EA02CA" w14:paraId="2489FB8F" w14:textId="77777777" w:rsidTr="0053482B">
              <w:trPr>
                <w:tblHeader/>
              </w:trPr>
              <w:tc>
                <w:tcPr>
                  <w:tcW w:w="0" w:type="auto"/>
                  <w:vAlign w:val="center"/>
                  <w:hideMark/>
                </w:tcPr>
                <w:p w14:paraId="304A2E7F" w14:textId="77777777" w:rsidR="00153C89" w:rsidRPr="00EA02CA" w:rsidRDefault="00153C89" w:rsidP="0053482B"/>
              </w:tc>
              <w:tc>
                <w:tcPr>
                  <w:tcW w:w="0" w:type="auto"/>
                  <w:vAlign w:val="center"/>
                  <w:hideMark/>
                </w:tcPr>
                <w:p w14:paraId="28E67E5A" w14:textId="77777777" w:rsidR="00153C89" w:rsidRPr="00EA02CA" w:rsidRDefault="00153C89" w:rsidP="0053482B"/>
              </w:tc>
              <w:tc>
                <w:tcPr>
                  <w:tcW w:w="0" w:type="auto"/>
                  <w:vAlign w:val="center"/>
                  <w:hideMark/>
                </w:tcPr>
                <w:p w14:paraId="2D8A0FB9" w14:textId="77777777" w:rsidR="00153C89" w:rsidRPr="00EA02CA" w:rsidRDefault="00153C89" w:rsidP="0053482B"/>
              </w:tc>
            </w:tr>
            <w:tr w:rsidR="00153C89" w:rsidRPr="00EA02CA" w14:paraId="44FC4AD6" w14:textId="77777777" w:rsidTr="0053482B">
              <w:tc>
                <w:tcPr>
                  <w:tcW w:w="0" w:type="auto"/>
                  <w:tcBorders>
                    <w:top w:val="nil"/>
                    <w:left w:val="nil"/>
                    <w:bottom w:val="nil"/>
                    <w:right w:val="nil"/>
                  </w:tcBorders>
                  <w:tcMar>
                    <w:top w:w="0" w:type="dxa"/>
                    <w:left w:w="69" w:type="dxa"/>
                    <w:bottom w:w="0" w:type="dxa"/>
                    <w:right w:w="69" w:type="dxa"/>
                  </w:tcMar>
                  <w:hideMark/>
                </w:tcPr>
                <w:p w14:paraId="5C845E23" w14:textId="77777777" w:rsidR="00153C89" w:rsidRPr="00EA02CA" w:rsidRDefault="00153C89" w:rsidP="0053482B">
                  <w:r w:rsidRPr="00EA02CA">
                    <w:t>1</w:t>
                  </w:r>
                </w:p>
              </w:tc>
              <w:tc>
                <w:tcPr>
                  <w:tcW w:w="0" w:type="auto"/>
                  <w:tcBorders>
                    <w:top w:val="nil"/>
                    <w:left w:val="nil"/>
                    <w:bottom w:val="nil"/>
                    <w:right w:val="nil"/>
                  </w:tcBorders>
                  <w:tcMar>
                    <w:top w:w="0" w:type="dxa"/>
                    <w:left w:w="69" w:type="dxa"/>
                    <w:bottom w:w="0" w:type="dxa"/>
                    <w:right w:w="69" w:type="dxa"/>
                  </w:tcMar>
                  <w:hideMark/>
                </w:tcPr>
                <w:p w14:paraId="5D1C3F9A" w14:textId="77777777" w:rsidR="00153C89" w:rsidRPr="00EA02CA" w:rsidRDefault="00153C89" w:rsidP="0053482B">
                  <w:r w:rsidRPr="00EA02CA">
                    <w:t>…</w:t>
                  </w:r>
                </w:p>
              </w:tc>
              <w:tc>
                <w:tcPr>
                  <w:tcW w:w="0" w:type="auto"/>
                  <w:tcBorders>
                    <w:top w:val="nil"/>
                    <w:left w:val="nil"/>
                    <w:bottom w:val="nil"/>
                    <w:right w:val="nil"/>
                  </w:tcBorders>
                  <w:tcMar>
                    <w:top w:w="0" w:type="dxa"/>
                    <w:left w:w="69" w:type="dxa"/>
                    <w:bottom w:w="0" w:type="dxa"/>
                    <w:right w:w="69" w:type="dxa"/>
                  </w:tcMar>
                  <w:hideMark/>
                </w:tcPr>
                <w:p w14:paraId="1FC0DD73" w14:textId="77777777" w:rsidR="00153C89" w:rsidRPr="00EA02CA" w:rsidRDefault="00153C89" w:rsidP="0053482B"/>
              </w:tc>
            </w:tr>
            <w:tr w:rsidR="00153C89" w:rsidRPr="00EA02CA" w14:paraId="19510647" w14:textId="77777777" w:rsidTr="0053482B">
              <w:tc>
                <w:tcPr>
                  <w:tcW w:w="0" w:type="auto"/>
                  <w:tcBorders>
                    <w:top w:val="nil"/>
                    <w:left w:val="nil"/>
                    <w:bottom w:val="nil"/>
                    <w:right w:val="nil"/>
                  </w:tcBorders>
                  <w:tcMar>
                    <w:top w:w="0" w:type="dxa"/>
                    <w:left w:w="69" w:type="dxa"/>
                    <w:bottom w:w="0" w:type="dxa"/>
                    <w:right w:w="69" w:type="dxa"/>
                  </w:tcMar>
                  <w:hideMark/>
                </w:tcPr>
                <w:p w14:paraId="1DCFC737" w14:textId="77777777" w:rsidR="00153C89" w:rsidRPr="00EA02CA" w:rsidRDefault="00153C89" w:rsidP="0053482B">
                  <w:r w:rsidRPr="00EA02CA">
                    <w:t>2</w:t>
                  </w:r>
                </w:p>
              </w:tc>
              <w:tc>
                <w:tcPr>
                  <w:tcW w:w="0" w:type="auto"/>
                  <w:tcBorders>
                    <w:top w:val="nil"/>
                    <w:left w:val="nil"/>
                    <w:bottom w:val="nil"/>
                    <w:right w:val="nil"/>
                  </w:tcBorders>
                  <w:tcMar>
                    <w:top w:w="0" w:type="dxa"/>
                    <w:left w:w="69" w:type="dxa"/>
                    <w:bottom w:w="0" w:type="dxa"/>
                    <w:right w:w="69" w:type="dxa"/>
                  </w:tcMar>
                  <w:hideMark/>
                </w:tcPr>
                <w:p w14:paraId="471A49CB" w14:textId="77777777" w:rsidR="00153C89" w:rsidRPr="00EA02CA" w:rsidRDefault="00153C89" w:rsidP="0053482B">
                  <w:r w:rsidRPr="00EA02CA">
                    <w:t>…</w:t>
                  </w:r>
                </w:p>
              </w:tc>
              <w:tc>
                <w:tcPr>
                  <w:tcW w:w="0" w:type="auto"/>
                  <w:tcBorders>
                    <w:top w:val="nil"/>
                    <w:left w:val="nil"/>
                    <w:bottom w:val="nil"/>
                    <w:right w:val="nil"/>
                  </w:tcBorders>
                  <w:tcMar>
                    <w:top w:w="0" w:type="dxa"/>
                    <w:left w:w="69" w:type="dxa"/>
                    <w:bottom w:w="0" w:type="dxa"/>
                    <w:right w:w="69" w:type="dxa"/>
                  </w:tcMar>
                  <w:hideMark/>
                </w:tcPr>
                <w:p w14:paraId="568DCF28" w14:textId="77777777" w:rsidR="00153C89" w:rsidRPr="00EA02CA" w:rsidRDefault="00153C89" w:rsidP="0053482B"/>
              </w:tc>
            </w:tr>
            <w:tr w:rsidR="00153C89" w:rsidRPr="00EA02CA" w14:paraId="27B89B2B" w14:textId="77777777" w:rsidTr="0053482B">
              <w:tc>
                <w:tcPr>
                  <w:tcW w:w="0" w:type="auto"/>
                  <w:tcBorders>
                    <w:top w:val="nil"/>
                    <w:left w:val="nil"/>
                    <w:bottom w:val="nil"/>
                    <w:right w:val="nil"/>
                  </w:tcBorders>
                  <w:tcMar>
                    <w:top w:w="0" w:type="dxa"/>
                    <w:left w:w="69" w:type="dxa"/>
                    <w:bottom w:w="0" w:type="dxa"/>
                    <w:right w:w="69" w:type="dxa"/>
                  </w:tcMar>
                  <w:hideMark/>
                </w:tcPr>
                <w:p w14:paraId="546A95FA" w14:textId="77777777" w:rsidR="00153C89" w:rsidRPr="00EA02CA" w:rsidRDefault="00153C89" w:rsidP="0053482B">
                  <w:r w:rsidRPr="00EA02CA">
                    <w:t>3</w:t>
                  </w:r>
                </w:p>
              </w:tc>
              <w:tc>
                <w:tcPr>
                  <w:tcW w:w="0" w:type="auto"/>
                  <w:tcBorders>
                    <w:top w:val="nil"/>
                    <w:left w:val="nil"/>
                    <w:bottom w:val="nil"/>
                    <w:right w:val="nil"/>
                  </w:tcBorders>
                  <w:tcMar>
                    <w:top w:w="0" w:type="dxa"/>
                    <w:left w:w="69" w:type="dxa"/>
                    <w:bottom w:w="0" w:type="dxa"/>
                    <w:right w:w="69" w:type="dxa"/>
                  </w:tcMar>
                  <w:hideMark/>
                </w:tcPr>
                <w:p w14:paraId="18087CE7" w14:textId="77777777" w:rsidR="00153C89" w:rsidRPr="00EA02CA" w:rsidRDefault="00153C89" w:rsidP="0053482B">
                  <w:r w:rsidRPr="00EA02CA">
                    <w:t>Familie &amp; Quartier Stadt Bern </w:t>
                  </w:r>
                </w:p>
              </w:tc>
              <w:tc>
                <w:tcPr>
                  <w:tcW w:w="0" w:type="auto"/>
                  <w:tcBorders>
                    <w:top w:val="nil"/>
                    <w:left w:val="nil"/>
                    <w:bottom w:val="nil"/>
                    <w:right w:val="nil"/>
                  </w:tcBorders>
                  <w:tcMar>
                    <w:top w:w="0" w:type="dxa"/>
                    <w:left w:w="69" w:type="dxa"/>
                    <w:bottom w:w="0" w:type="dxa"/>
                    <w:right w:w="69" w:type="dxa"/>
                  </w:tcMar>
                  <w:hideMark/>
                </w:tcPr>
                <w:p w14:paraId="18AC5EAC" w14:textId="77777777" w:rsidR="00153C89" w:rsidRPr="00EA02CA" w:rsidRDefault="00153C89" w:rsidP="0053482B"/>
              </w:tc>
            </w:tr>
            <w:tr w:rsidR="00153C89" w:rsidRPr="00EA02CA" w14:paraId="37F7E8CA" w14:textId="77777777" w:rsidTr="0053482B">
              <w:tc>
                <w:tcPr>
                  <w:tcW w:w="0" w:type="auto"/>
                  <w:tcBorders>
                    <w:top w:val="nil"/>
                    <w:left w:val="nil"/>
                    <w:bottom w:val="nil"/>
                    <w:right w:val="nil"/>
                  </w:tcBorders>
                  <w:tcMar>
                    <w:top w:w="0" w:type="dxa"/>
                    <w:left w:w="69" w:type="dxa"/>
                    <w:bottom w:w="0" w:type="dxa"/>
                    <w:right w:w="69" w:type="dxa"/>
                  </w:tcMar>
                  <w:hideMark/>
                </w:tcPr>
                <w:p w14:paraId="70257A50" w14:textId="77777777" w:rsidR="00153C89" w:rsidRPr="00EA02CA" w:rsidRDefault="00153C89" w:rsidP="0053482B">
                  <w:r w:rsidRPr="00EA02CA">
                    <w:t>3.1</w:t>
                  </w:r>
                </w:p>
              </w:tc>
              <w:tc>
                <w:tcPr>
                  <w:tcW w:w="0" w:type="auto"/>
                  <w:tcBorders>
                    <w:top w:val="nil"/>
                    <w:left w:val="nil"/>
                    <w:bottom w:val="nil"/>
                    <w:right w:val="nil"/>
                  </w:tcBorders>
                  <w:tcMar>
                    <w:top w:w="0" w:type="dxa"/>
                    <w:left w:w="69" w:type="dxa"/>
                    <w:bottom w:w="0" w:type="dxa"/>
                    <w:right w:w="69" w:type="dxa"/>
                  </w:tcMar>
                  <w:hideMark/>
                </w:tcPr>
                <w:p w14:paraId="68D24A05" w14:textId="77777777" w:rsidR="00153C89" w:rsidRPr="00EA02CA" w:rsidRDefault="00153C89" w:rsidP="0053482B">
                  <w:r w:rsidRPr="00EA02CA">
                    <w:t>Tagesstätten</w:t>
                  </w:r>
                </w:p>
              </w:tc>
              <w:tc>
                <w:tcPr>
                  <w:tcW w:w="0" w:type="auto"/>
                  <w:tcBorders>
                    <w:top w:val="nil"/>
                    <w:left w:val="nil"/>
                    <w:bottom w:val="nil"/>
                    <w:right w:val="nil"/>
                  </w:tcBorders>
                  <w:tcMar>
                    <w:top w:w="0" w:type="dxa"/>
                    <w:left w:w="69" w:type="dxa"/>
                    <w:bottom w:w="0" w:type="dxa"/>
                    <w:right w:w="69" w:type="dxa"/>
                  </w:tcMar>
                  <w:hideMark/>
                </w:tcPr>
                <w:p w14:paraId="666E7E80" w14:textId="77777777" w:rsidR="00153C89" w:rsidRPr="00EA02CA" w:rsidRDefault="00153C89" w:rsidP="0053482B"/>
              </w:tc>
            </w:tr>
            <w:tr w:rsidR="00153C89" w:rsidRPr="00EA02CA" w14:paraId="47D1BE0E" w14:textId="77777777" w:rsidTr="0053482B">
              <w:tc>
                <w:tcPr>
                  <w:tcW w:w="0" w:type="auto"/>
                  <w:tcBorders>
                    <w:top w:val="nil"/>
                    <w:left w:val="nil"/>
                    <w:bottom w:val="nil"/>
                    <w:right w:val="nil"/>
                  </w:tcBorders>
                  <w:tcMar>
                    <w:top w:w="0" w:type="dxa"/>
                    <w:left w:w="69" w:type="dxa"/>
                    <w:bottom w:w="0" w:type="dxa"/>
                    <w:right w:w="69" w:type="dxa"/>
                  </w:tcMar>
                  <w:hideMark/>
                </w:tcPr>
                <w:p w14:paraId="3CAA63A0" w14:textId="77777777" w:rsidR="00153C89" w:rsidRPr="00EA02CA" w:rsidRDefault="00153C89" w:rsidP="0053482B">
                  <w:r w:rsidRPr="00EA02CA">
                    <w:t>3.2</w:t>
                  </w:r>
                </w:p>
              </w:tc>
              <w:tc>
                <w:tcPr>
                  <w:tcW w:w="0" w:type="auto"/>
                  <w:tcBorders>
                    <w:top w:val="nil"/>
                    <w:left w:val="nil"/>
                    <w:bottom w:val="nil"/>
                    <w:right w:val="nil"/>
                  </w:tcBorders>
                  <w:tcMar>
                    <w:top w:w="0" w:type="dxa"/>
                    <w:left w:w="69" w:type="dxa"/>
                    <w:bottom w:w="0" w:type="dxa"/>
                    <w:right w:w="69" w:type="dxa"/>
                  </w:tcMar>
                  <w:hideMark/>
                </w:tcPr>
                <w:p w14:paraId="6FBCCD95" w14:textId="77777777" w:rsidR="00153C89" w:rsidRPr="00EA02CA" w:rsidRDefault="00153C89" w:rsidP="0053482B"/>
              </w:tc>
              <w:tc>
                <w:tcPr>
                  <w:tcW w:w="0" w:type="auto"/>
                  <w:tcBorders>
                    <w:top w:val="nil"/>
                    <w:left w:val="nil"/>
                    <w:bottom w:val="nil"/>
                    <w:right w:val="nil"/>
                  </w:tcBorders>
                  <w:tcMar>
                    <w:top w:w="0" w:type="dxa"/>
                    <w:left w:w="69" w:type="dxa"/>
                    <w:bottom w:w="0" w:type="dxa"/>
                    <w:right w:w="69" w:type="dxa"/>
                  </w:tcMar>
                  <w:hideMark/>
                </w:tcPr>
                <w:p w14:paraId="3927D2E0" w14:textId="77777777" w:rsidR="00153C89" w:rsidRPr="00EA02CA" w:rsidRDefault="00153C89" w:rsidP="0053482B"/>
              </w:tc>
            </w:tr>
            <w:tr w:rsidR="00153C89" w:rsidRPr="00EA02CA" w14:paraId="1AF5A725" w14:textId="77777777" w:rsidTr="0053482B">
              <w:tc>
                <w:tcPr>
                  <w:tcW w:w="0" w:type="auto"/>
                  <w:tcBorders>
                    <w:top w:val="nil"/>
                    <w:left w:val="nil"/>
                    <w:bottom w:val="nil"/>
                    <w:right w:val="nil"/>
                  </w:tcBorders>
                  <w:tcMar>
                    <w:top w:w="0" w:type="dxa"/>
                    <w:left w:w="69" w:type="dxa"/>
                    <w:bottom w:w="0" w:type="dxa"/>
                    <w:right w:w="69" w:type="dxa"/>
                  </w:tcMar>
                  <w:hideMark/>
                </w:tcPr>
                <w:p w14:paraId="54750164" w14:textId="77777777" w:rsidR="00153C89" w:rsidRPr="00EA02CA" w:rsidRDefault="00153C89" w:rsidP="0053482B">
                  <w:r w:rsidRPr="00EA02CA">
                    <w:t>4</w:t>
                  </w:r>
                </w:p>
              </w:tc>
              <w:tc>
                <w:tcPr>
                  <w:tcW w:w="0" w:type="auto"/>
                  <w:tcBorders>
                    <w:top w:val="nil"/>
                    <w:left w:val="nil"/>
                    <w:bottom w:val="nil"/>
                    <w:right w:val="nil"/>
                  </w:tcBorders>
                  <w:tcMar>
                    <w:top w:w="0" w:type="dxa"/>
                    <w:left w:w="69" w:type="dxa"/>
                    <w:bottom w:w="0" w:type="dxa"/>
                    <w:right w:w="69" w:type="dxa"/>
                  </w:tcMar>
                  <w:hideMark/>
                </w:tcPr>
                <w:p w14:paraId="27C33F28" w14:textId="77777777" w:rsidR="00153C89" w:rsidRPr="00EA02CA" w:rsidRDefault="00153C89" w:rsidP="0053482B">
                  <w:r w:rsidRPr="00EA02CA">
                    <w:t>SCHULAMT</w:t>
                  </w:r>
                </w:p>
              </w:tc>
              <w:tc>
                <w:tcPr>
                  <w:tcW w:w="0" w:type="auto"/>
                  <w:tcBorders>
                    <w:top w:val="nil"/>
                    <w:left w:val="nil"/>
                    <w:bottom w:val="nil"/>
                    <w:right w:val="nil"/>
                  </w:tcBorders>
                  <w:tcMar>
                    <w:top w:w="0" w:type="dxa"/>
                    <w:left w:w="69" w:type="dxa"/>
                    <w:bottom w:w="0" w:type="dxa"/>
                    <w:right w:w="69" w:type="dxa"/>
                  </w:tcMar>
                  <w:hideMark/>
                </w:tcPr>
                <w:p w14:paraId="085AB59B" w14:textId="77777777" w:rsidR="00153C89" w:rsidRPr="00EA02CA" w:rsidRDefault="00153C89" w:rsidP="0053482B"/>
              </w:tc>
            </w:tr>
            <w:tr w:rsidR="00153C89" w:rsidRPr="00EA02CA" w14:paraId="6DC51028" w14:textId="77777777" w:rsidTr="0053482B">
              <w:tc>
                <w:tcPr>
                  <w:tcW w:w="0" w:type="auto"/>
                  <w:tcBorders>
                    <w:top w:val="nil"/>
                    <w:left w:val="nil"/>
                    <w:bottom w:val="nil"/>
                    <w:right w:val="nil"/>
                  </w:tcBorders>
                  <w:tcMar>
                    <w:top w:w="0" w:type="dxa"/>
                    <w:left w:w="69" w:type="dxa"/>
                    <w:bottom w:w="0" w:type="dxa"/>
                    <w:right w:w="69" w:type="dxa"/>
                  </w:tcMar>
                  <w:hideMark/>
                </w:tcPr>
                <w:p w14:paraId="5D19F3E2" w14:textId="77777777" w:rsidR="00153C89" w:rsidRPr="00EA02CA" w:rsidRDefault="00153C89" w:rsidP="0053482B">
                  <w:r w:rsidRPr="00EA02CA">
                    <w:t>4.1</w:t>
                  </w:r>
                </w:p>
              </w:tc>
              <w:tc>
                <w:tcPr>
                  <w:tcW w:w="0" w:type="auto"/>
                  <w:tcBorders>
                    <w:top w:val="nil"/>
                    <w:left w:val="nil"/>
                    <w:bottom w:val="nil"/>
                    <w:right w:val="nil"/>
                  </w:tcBorders>
                  <w:tcMar>
                    <w:top w:w="0" w:type="dxa"/>
                    <w:left w:w="69" w:type="dxa"/>
                    <w:bottom w:w="0" w:type="dxa"/>
                    <w:right w:w="69" w:type="dxa"/>
                  </w:tcMar>
                  <w:hideMark/>
                </w:tcPr>
                <w:p w14:paraId="47ADFCD8" w14:textId="77777777" w:rsidR="00153C89" w:rsidRPr="00EA02CA" w:rsidRDefault="00153C89" w:rsidP="0053482B">
                  <w:r w:rsidRPr="00EA02CA">
                    <w:t>Tagesschulen</w:t>
                  </w:r>
                </w:p>
              </w:tc>
              <w:tc>
                <w:tcPr>
                  <w:tcW w:w="0" w:type="auto"/>
                  <w:tcBorders>
                    <w:top w:val="nil"/>
                    <w:left w:val="nil"/>
                    <w:bottom w:val="nil"/>
                    <w:right w:val="nil"/>
                  </w:tcBorders>
                  <w:tcMar>
                    <w:top w:w="0" w:type="dxa"/>
                    <w:left w:w="69" w:type="dxa"/>
                    <w:bottom w:w="0" w:type="dxa"/>
                    <w:right w:w="69" w:type="dxa"/>
                  </w:tcMar>
                  <w:hideMark/>
                </w:tcPr>
                <w:p w14:paraId="78C9B8D7" w14:textId="77777777" w:rsidR="00153C89" w:rsidRPr="00EA02CA" w:rsidRDefault="00153C89" w:rsidP="0053482B"/>
              </w:tc>
            </w:tr>
            <w:tr w:rsidR="00153C89" w:rsidRPr="00EA02CA" w14:paraId="0577738E" w14:textId="77777777" w:rsidTr="0053482B">
              <w:tc>
                <w:tcPr>
                  <w:tcW w:w="0" w:type="auto"/>
                  <w:tcBorders>
                    <w:top w:val="nil"/>
                    <w:left w:val="nil"/>
                    <w:bottom w:val="nil"/>
                    <w:right w:val="nil"/>
                  </w:tcBorders>
                  <w:tcMar>
                    <w:top w:w="0" w:type="dxa"/>
                    <w:left w:w="69" w:type="dxa"/>
                    <w:bottom w:w="0" w:type="dxa"/>
                    <w:right w:w="69" w:type="dxa"/>
                  </w:tcMar>
                  <w:hideMark/>
                </w:tcPr>
                <w:p w14:paraId="3C09B8B5" w14:textId="77777777" w:rsidR="00153C89" w:rsidRPr="00EA02CA" w:rsidRDefault="00153C89" w:rsidP="0053482B">
                  <w:r w:rsidRPr="00EA02CA">
                    <w:t>5</w:t>
                  </w:r>
                </w:p>
              </w:tc>
              <w:tc>
                <w:tcPr>
                  <w:tcW w:w="0" w:type="auto"/>
                  <w:tcBorders>
                    <w:top w:val="nil"/>
                    <w:left w:val="nil"/>
                    <w:bottom w:val="nil"/>
                    <w:right w:val="nil"/>
                  </w:tcBorders>
                  <w:tcMar>
                    <w:top w:w="0" w:type="dxa"/>
                    <w:left w:w="69" w:type="dxa"/>
                    <w:bottom w:w="0" w:type="dxa"/>
                    <w:right w:w="69" w:type="dxa"/>
                  </w:tcMar>
                  <w:hideMark/>
                </w:tcPr>
                <w:p w14:paraId="5BFFBA10" w14:textId="77777777" w:rsidR="00153C89" w:rsidRPr="00EA02CA" w:rsidRDefault="00153C89" w:rsidP="0053482B">
                  <w:r w:rsidRPr="00EA02CA">
                    <w:t>GESUNDHEITSDIENST</w:t>
                  </w:r>
                </w:p>
              </w:tc>
              <w:tc>
                <w:tcPr>
                  <w:tcW w:w="0" w:type="auto"/>
                  <w:tcBorders>
                    <w:top w:val="nil"/>
                    <w:left w:val="nil"/>
                    <w:bottom w:val="nil"/>
                    <w:right w:val="nil"/>
                  </w:tcBorders>
                  <w:tcMar>
                    <w:top w:w="0" w:type="dxa"/>
                    <w:left w:w="69" w:type="dxa"/>
                    <w:bottom w:w="0" w:type="dxa"/>
                    <w:right w:w="69" w:type="dxa"/>
                  </w:tcMar>
                  <w:hideMark/>
                </w:tcPr>
                <w:p w14:paraId="7C91EE7F" w14:textId="77777777" w:rsidR="00153C89" w:rsidRPr="00EA02CA" w:rsidRDefault="00153C89" w:rsidP="0053482B"/>
              </w:tc>
            </w:tr>
            <w:tr w:rsidR="00153C89" w:rsidRPr="00EA02CA" w14:paraId="11EA9FCC" w14:textId="77777777" w:rsidTr="0053482B">
              <w:tc>
                <w:tcPr>
                  <w:tcW w:w="0" w:type="auto"/>
                  <w:tcBorders>
                    <w:top w:val="nil"/>
                    <w:left w:val="nil"/>
                    <w:bottom w:val="nil"/>
                    <w:right w:val="nil"/>
                  </w:tcBorders>
                  <w:tcMar>
                    <w:top w:w="0" w:type="dxa"/>
                    <w:left w:w="69" w:type="dxa"/>
                    <w:bottom w:w="0" w:type="dxa"/>
                    <w:right w:w="69" w:type="dxa"/>
                  </w:tcMar>
                  <w:hideMark/>
                </w:tcPr>
                <w:p w14:paraId="5298B3F9" w14:textId="77777777" w:rsidR="00153C89" w:rsidRPr="00EA02CA" w:rsidRDefault="00153C89" w:rsidP="0053482B">
                  <w:r w:rsidRPr="00EA02CA">
                    <w:t>5.1</w:t>
                  </w:r>
                </w:p>
              </w:tc>
              <w:tc>
                <w:tcPr>
                  <w:tcW w:w="0" w:type="auto"/>
                  <w:tcBorders>
                    <w:top w:val="nil"/>
                    <w:left w:val="nil"/>
                    <w:bottom w:val="nil"/>
                    <w:right w:val="nil"/>
                  </w:tcBorders>
                  <w:tcMar>
                    <w:top w:w="0" w:type="dxa"/>
                    <w:left w:w="69" w:type="dxa"/>
                    <w:bottom w:w="0" w:type="dxa"/>
                    <w:right w:w="69" w:type="dxa"/>
                  </w:tcMar>
                  <w:hideMark/>
                </w:tcPr>
                <w:p w14:paraId="473D49CC" w14:textId="77777777" w:rsidR="00153C89" w:rsidRPr="00EA02CA" w:rsidRDefault="00153C89" w:rsidP="0053482B">
                  <w:r w:rsidRPr="00EA02CA">
                    <w:t>Schulärztlicher Dienst</w:t>
                  </w:r>
                </w:p>
              </w:tc>
              <w:tc>
                <w:tcPr>
                  <w:tcW w:w="0" w:type="auto"/>
                  <w:tcBorders>
                    <w:top w:val="nil"/>
                    <w:left w:val="nil"/>
                    <w:bottom w:val="nil"/>
                    <w:right w:val="nil"/>
                  </w:tcBorders>
                  <w:tcMar>
                    <w:top w:w="0" w:type="dxa"/>
                    <w:left w:w="69" w:type="dxa"/>
                    <w:bottom w:w="0" w:type="dxa"/>
                    <w:right w:w="69" w:type="dxa"/>
                  </w:tcMar>
                  <w:hideMark/>
                </w:tcPr>
                <w:p w14:paraId="1544F7FF" w14:textId="77777777" w:rsidR="00153C89" w:rsidRPr="00EA02CA" w:rsidRDefault="00153C89" w:rsidP="0053482B"/>
              </w:tc>
            </w:tr>
            <w:tr w:rsidR="00153C89" w:rsidRPr="00EA02CA" w14:paraId="3CDDCAEB" w14:textId="77777777" w:rsidTr="0053482B">
              <w:tc>
                <w:tcPr>
                  <w:tcW w:w="0" w:type="auto"/>
                  <w:tcBorders>
                    <w:top w:val="nil"/>
                    <w:left w:val="nil"/>
                    <w:bottom w:val="nil"/>
                    <w:right w:val="nil"/>
                  </w:tcBorders>
                  <w:tcMar>
                    <w:top w:w="0" w:type="dxa"/>
                    <w:left w:w="69" w:type="dxa"/>
                    <w:bottom w:w="0" w:type="dxa"/>
                    <w:right w:w="69" w:type="dxa"/>
                  </w:tcMar>
                  <w:hideMark/>
                </w:tcPr>
                <w:p w14:paraId="71010463" w14:textId="77777777" w:rsidR="00153C89" w:rsidRPr="00EA02CA" w:rsidRDefault="00153C89" w:rsidP="0053482B">
                  <w:r w:rsidRPr="00EA02CA">
                    <w:lastRenderedPageBreak/>
                    <w:t>5.2</w:t>
                  </w:r>
                </w:p>
              </w:tc>
              <w:tc>
                <w:tcPr>
                  <w:tcW w:w="0" w:type="auto"/>
                  <w:tcBorders>
                    <w:top w:val="nil"/>
                    <w:left w:val="nil"/>
                    <w:bottom w:val="nil"/>
                    <w:right w:val="nil"/>
                  </w:tcBorders>
                  <w:tcMar>
                    <w:top w:w="0" w:type="dxa"/>
                    <w:left w:w="69" w:type="dxa"/>
                    <w:bottom w:w="0" w:type="dxa"/>
                    <w:right w:w="69" w:type="dxa"/>
                  </w:tcMar>
                  <w:hideMark/>
                </w:tcPr>
                <w:p w14:paraId="4F123B68" w14:textId="77777777" w:rsidR="00153C89" w:rsidRPr="00EA02CA" w:rsidRDefault="00153C89" w:rsidP="0053482B">
                  <w:r w:rsidRPr="00EA02CA">
                    <w:t>Wohnungsinspektion</w:t>
                  </w:r>
                </w:p>
              </w:tc>
              <w:tc>
                <w:tcPr>
                  <w:tcW w:w="0" w:type="auto"/>
                  <w:tcBorders>
                    <w:top w:val="nil"/>
                    <w:left w:val="nil"/>
                    <w:bottom w:val="nil"/>
                    <w:right w:val="nil"/>
                  </w:tcBorders>
                  <w:tcMar>
                    <w:top w:w="0" w:type="dxa"/>
                    <w:left w:w="69" w:type="dxa"/>
                    <w:bottom w:w="0" w:type="dxa"/>
                    <w:right w:w="69" w:type="dxa"/>
                  </w:tcMar>
                  <w:hideMark/>
                </w:tcPr>
                <w:p w14:paraId="097DDEEC" w14:textId="77777777" w:rsidR="00153C89" w:rsidRPr="00EA02CA" w:rsidRDefault="00153C89" w:rsidP="0053482B"/>
              </w:tc>
            </w:tr>
            <w:tr w:rsidR="00153C89" w:rsidRPr="00EA02CA" w14:paraId="670ADDD4" w14:textId="77777777" w:rsidTr="0053482B">
              <w:tc>
                <w:tcPr>
                  <w:tcW w:w="0" w:type="auto"/>
                  <w:tcBorders>
                    <w:top w:val="nil"/>
                    <w:left w:val="nil"/>
                    <w:bottom w:val="nil"/>
                    <w:right w:val="nil"/>
                  </w:tcBorders>
                  <w:tcMar>
                    <w:top w:w="0" w:type="dxa"/>
                    <w:left w:w="69" w:type="dxa"/>
                    <w:bottom w:w="0" w:type="dxa"/>
                    <w:right w:w="69" w:type="dxa"/>
                  </w:tcMar>
                  <w:hideMark/>
                </w:tcPr>
                <w:p w14:paraId="23BE6247" w14:textId="77777777" w:rsidR="00153C89" w:rsidRPr="00EA02CA" w:rsidRDefault="00153C89" w:rsidP="0053482B">
                  <w:r w:rsidRPr="00EA02CA">
                    <w:t>6</w:t>
                  </w:r>
                </w:p>
              </w:tc>
              <w:tc>
                <w:tcPr>
                  <w:tcW w:w="0" w:type="auto"/>
                  <w:tcBorders>
                    <w:top w:val="nil"/>
                    <w:left w:val="nil"/>
                    <w:bottom w:val="nil"/>
                    <w:right w:val="nil"/>
                  </w:tcBorders>
                  <w:tcMar>
                    <w:top w:w="0" w:type="dxa"/>
                    <w:left w:w="69" w:type="dxa"/>
                    <w:bottom w:w="0" w:type="dxa"/>
                    <w:right w:w="69" w:type="dxa"/>
                  </w:tcMar>
                  <w:hideMark/>
                </w:tcPr>
                <w:p w14:paraId="59CD0D84" w14:textId="77777777" w:rsidR="00153C89" w:rsidRPr="00EA02CA" w:rsidRDefault="00153C89" w:rsidP="0053482B">
                  <w:r w:rsidRPr="00EA02CA">
                    <w:t>SCHULZAHNMEDIZINISCHER DIENST</w:t>
                  </w:r>
                </w:p>
              </w:tc>
              <w:tc>
                <w:tcPr>
                  <w:tcW w:w="0" w:type="auto"/>
                  <w:tcBorders>
                    <w:top w:val="nil"/>
                    <w:left w:val="nil"/>
                    <w:bottom w:val="nil"/>
                    <w:right w:val="nil"/>
                  </w:tcBorders>
                  <w:tcMar>
                    <w:top w:w="0" w:type="dxa"/>
                    <w:left w:w="69" w:type="dxa"/>
                    <w:bottom w:w="0" w:type="dxa"/>
                    <w:right w:w="69" w:type="dxa"/>
                  </w:tcMar>
                  <w:hideMark/>
                </w:tcPr>
                <w:p w14:paraId="2A8C64FC" w14:textId="77777777" w:rsidR="00153C89" w:rsidRPr="00EA02CA" w:rsidRDefault="00153C89" w:rsidP="0053482B"/>
              </w:tc>
            </w:tr>
            <w:tr w:rsidR="00153C89" w:rsidRPr="00EA02CA" w14:paraId="2FCCCAF3" w14:textId="77777777" w:rsidTr="0053482B">
              <w:tc>
                <w:tcPr>
                  <w:tcW w:w="0" w:type="auto"/>
                  <w:tcBorders>
                    <w:top w:val="nil"/>
                    <w:left w:val="nil"/>
                    <w:bottom w:val="nil"/>
                    <w:right w:val="nil"/>
                  </w:tcBorders>
                  <w:tcMar>
                    <w:top w:w="0" w:type="dxa"/>
                    <w:left w:w="69" w:type="dxa"/>
                    <w:bottom w:w="0" w:type="dxa"/>
                    <w:right w:w="69" w:type="dxa"/>
                  </w:tcMar>
                  <w:hideMark/>
                </w:tcPr>
                <w:p w14:paraId="26ECF665" w14:textId="77777777" w:rsidR="00153C89" w:rsidRPr="00EA02CA" w:rsidRDefault="00153C89" w:rsidP="0053482B">
                  <w:r w:rsidRPr="00EA02CA">
                    <w:t>6.1</w:t>
                  </w:r>
                </w:p>
              </w:tc>
              <w:tc>
                <w:tcPr>
                  <w:tcW w:w="0" w:type="auto"/>
                  <w:tcBorders>
                    <w:top w:val="nil"/>
                    <w:left w:val="nil"/>
                    <w:bottom w:val="nil"/>
                    <w:right w:val="nil"/>
                  </w:tcBorders>
                  <w:tcMar>
                    <w:top w:w="0" w:type="dxa"/>
                    <w:left w:w="69" w:type="dxa"/>
                    <w:bottom w:w="0" w:type="dxa"/>
                    <w:right w:w="69" w:type="dxa"/>
                  </w:tcMar>
                  <w:hideMark/>
                </w:tcPr>
                <w:p w14:paraId="6BB53524" w14:textId="77777777" w:rsidR="00153C89" w:rsidRPr="00EA02CA" w:rsidRDefault="00153C89" w:rsidP="0053482B">
                  <w:r w:rsidRPr="00EA02CA">
                    <w:t xml:space="preserve">Schulzahnpflege für Kinder unter 3 </w:t>
                  </w:r>
                </w:p>
                <w:p w14:paraId="21C4859D" w14:textId="77777777" w:rsidR="00153C89" w:rsidRPr="00EA02CA" w:rsidRDefault="00153C89" w:rsidP="0053482B">
                  <w:r w:rsidRPr="00EA02CA">
                    <w:t>Jahren sowie Kinder und Jugendliche mit auswärtigem Wohnsitz</w:t>
                  </w:r>
                </w:p>
              </w:tc>
              <w:tc>
                <w:tcPr>
                  <w:tcW w:w="0" w:type="auto"/>
                  <w:tcBorders>
                    <w:top w:val="nil"/>
                    <w:left w:val="nil"/>
                    <w:bottom w:val="nil"/>
                    <w:right w:val="nil"/>
                  </w:tcBorders>
                  <w:tcMar>
                    <w:top w:w="0" w:type="dxa"/>
                    <w:left w:w="69" w:type="dxa"/>
                    <w:bottom w:w="0" w:type="dxa"/>
                    <w:right w:w="69" w:type="dxa"/>
                  </w:tcMar>
                  <w:hideMark/>
                </w:tcPr>
                <w:p w14:paraId="0B46A24B" w14:textId="77777777" w:rsidR="00153C89" w:rsidRPr="00EA02CA" w:rsidRDefault="00153C89" w:rsidP="0053482B"/>
              </w:tc>
            </w:tr>
            <w:tr w:rsidR="00153C89" w:rsidRPr="00EA02CA" w14:paraId="2B98C4D7" w14:textId="77777777" w:rsidTr="0053482B">
              <w:tc>
                <w:tcPr>
                  <w:tcW w:w="0" w:type="auto"/>
                  <w:tcBorders>
                    <w:top w:val="nil"/>
                    <w:left w:val="nil"/>
                    <w:bottom w:val="nil"/>
                    <w:right w:val="nil"/>
                  </w:tcBorders>
                  <w:tcMar>
                    <w:top w:w="0" w:type="dxa"/>
                    <w:left w:w="69" w:type="dxa"/>
                    <w:bottom w:w="0" w:type="dxa"/>
                    <w:right w:w="69" w:type="dxa"/>
                  </w:tcMar>
                  <w:hideMark/>
                </w:tcPr>
                <w:p w14:paraId="5E928C7D" w14:textId="77777777" w:rsidR="00153C89" w:rsidRPr="00EA02CA" w:rsidRDefault="00153C89" w:rsidP="0053482B">
                  <w:r w:rsidRPr="00EA02CA">
                    <w:t>6.2</w:t>
                  </w:r>
                </w:p>
              </w:tc>
              <w:tc>
                <w:tcPr>
                  <w:tcW w:w="0" w:type="auto"/>
                  <w:tcBorders>
                    <w:top w:val="nil"/>
                    <w:left w:val="nil"/>
                    <w:bottom w:val="nil"/>
                    <w:right w:val="nil"/>
                  </w:tcBorders>
                  <w:tcMar>
                    <w:top w:w="0" w:type="dxa"/>
                    <w:left w:w="69" w:type="dxa"/>
                    <w:bottom w:w="0" w:type="dxa"/>
                    <w:right w:w="69" w:type="dxa"/>
                  </w:tcMar>
                  <w:hideMark/>
                </w:tcPr>
                <w:p w14:paraId="37248ACD" w14:textId="77777777" w:rsidR="00153C89" w:rsidRPr="00EA02CA" w:rsidRDefault="00153C89" w:rsidP="0053482B">
                  <w:r w:rsidRPr="00EA02CA">
                    <w:t>Behandlung in Schulzahnklinik</w:t>
                  </w:r>
                </w:p>
              </w:tc>
              <w:tc>
                <w:tcPr>
                  <w:tcW w:w="0" w:type="auto"/>
                  <w:tcBorders>
                    <w:top w:val="nil"/>
                    <w:left w:val="nil"/>
                    <w:bottom w:val="nil"/>
                    <w:right w:val="nil"/>
                  </w:tcBorders>
                  <w:tcMar>
                    <w:top w:w="0" w:type="dxa"/>
                    <w:left w:w="69" w:type="dxa"/>
                    <w:bottom w:w="0" w:type="dxa"/>
                    <w:right w:w="69" w:type="dxa"/>
                  </w:tcMar>
                  <w:hideMark/>
                </w:tcPr>
                <w:p w14:paraId="0FEDA9D3" w14:textId="77777777" w:rsidR="00153C89" w:rsidRPr="00EA02CA" w:rsidRDefault="00153C89" w:rsidP="0053482B"/>
              </w:tc>
            </w:tr>
            <w:tr w:rsidR="00153C89" w:rsidRPr="00EA02CA" w14:paraId="734A0C3D" w14:textId="77777777" w:rsidTr="0053482B">
              <w:trPr>
                <w:tblHeader/>
              </w:trPr>
              <w:tc>
                <w:tcPr>
                  <w:tcW w:w="0" w:type="auto"/>
                  <w:vAlign w:val="center"/>
                  <w:hideMark/>
                </w:tcPr>
                <w:p w14:paraId="1EC446FF" w14:textId="77777777" w:rsidR="00153C89" w:rsidRPr="00EA02CA" w:rsidRDefault="00153C89" w:rsidP="0053482B"/>
              </w:tc>
              <w:tc>
                <w:tcPr>
                  <w:tcW w:w="0" w:type="auto"/>
                  <w:vAlign w:val="center"/>
                  <w:hideMark/>
                </w:tcPr>
                <w:p w14:paraId="6AE464C6" w14:textId="77777777" w:rsidR="00153C89" w:rsidRPr="00EA02CA" w:rsidRDefault="00153C89" w:rsidP="0053482B"/>
              </w:tc>
              <w:tc>
                <w:tcPr>
                  <w:tcW w:w="0" w:type="auto"/>
                  <w:vAlign w:val="center"/>
                  <w:hideMark/>
                </w:tcPr>
                <w:p w14:paraId="56FAEC5A" w14:textId="77777777" w:rsidR="00153C89" w:rsidRPr="00EA02CA" w:rsidRDefault="00153C89" w:rsidP="0053482B"/>
              </w:tc>
            </w:tr>
            <w:tr w:rsidR="00153C89" w:rsidRPr="00EA02CA" w14:paraId="2AAB9834" w14:textId="77777777" w:rsidTr="0053482B">
              <w:tc>
                <w:tcPr>
                  <w:tcW w:w="0" w:type="auto"/>
                  <w:tcBorders>
                    <w:top w:val="nil"/>
                    <w:left w:val="nil"/>
                    <w:bottom w:val="nil"/>
                    <w:right w:val="nil"/>
                  </w:tcBorders>
                  <w:tcMar>
                    <w:top w:w="0" w:type="dxa"/>
                    <w:left w:w="69" w:type="dxa"/>
                    <w:bottom w:w="0" w:type="dxa"/>
                    <w:right w:w="69" w:type="dxa"/>
                  </w:tcMar>
                  <w:hideMark/>
                </w:tcPr>
                <w:p w14:paraId="7AC46E4D" w14:textId="77777777" w:rsidR="00153C89" w:rsidRPr="00EA02CA" w:rsidRDefault="00153C89" w:rsidP="0053482B">
                  <w:r w:rsidRPr="00EA02CA">
                    <w:t>7</w:t>
                  </w:r>
                </w:p>
              </w:tc>
              <w:tc>
                <w:tcPr>
                  <w:tcW w:w="0" w:type="auto"/>
                  <w:tcBorders>
                    <w:top w:val="nil"/>
                    <w:left w:val="nil"/>
                    <w:bottom w:val="nil"/>
                    <w:right w:val="nil"/>
                  </w:tcBorders>
                  <w:tcMar>
                    <w:top w:w="0" w:type="dxa"/>
                    <w:left w:w="69" w:type="dxa"/>
                    <w:bottom w:w="0" w:type="dxa"/>
                    <w:right w:w="69" w:type="dxa"/>
                  </w:tcMar>
                  <w:hideMark/>
                </w:tcPr>
                <w:p w14:paraId="5CC880C6" w14:textId="77777777" w:rsidR="00153C89" w:rsidRPr="00EA02CA" w:rsidRDefault="00153C89" w:rsidP="0053482B">
                  <w:r w:rsidRPr="00EA02CA">
                    <w:t>SPORTAMT UND ZENTRALER DIENST BAU UND UNTERHALT</w:t>
                  </w:r>
                </w:p>
              </w:tc>
              <w:tc>
                <w:tcPr>
                  <w:tcW w:w="0" w:type="auto"/>
                  <w:tcBorders>
                    <w:top w:val="nil"/>
                    <w:left w:val="nil"/>
                    <w:bottom w:val="nil"/>
                    <w:right w:val="nil"/>
                  </w:tcBorders>
                  <w:tcMar>
                    <w:top w:w="0" w:type="dxa"/>
                    <w:left w:w="69" w:type="dxa"/>
                    <w:bottom w:w="0" w:type="dxa"/>
                    <w:right w:w="69" w:type="dxa"/>
                  </w:tcMar>
                  <w:hideMark/>
                </w:tcPr>
                <w:p w14:paraId="13010F10" w14:textId="77777777" w:rsidR="00153C89" w:rsidRPr="00EA02CA" w:rsidRDefault="00153C89" w:rsidP="0053482B"/>
              </w:tc>
            </w:tr>
            <w:tr w:rsidR="00153C89" w:rsidRPr="00EA02CA" w14:paraId="37F960C8" w14:textId="77777777" w:rsidTr="0053482B">
              <w:tc>
                <w:tcPr>
                  <w:tcW w:w="0" w:type="auto"/>
                  <w:tcBorders>
                    <w:top w:val="nil"/>
                    <w:left w:val="nil"/>
                    <w:bottom w:val="nil"/>
                    <w:right w:val="nil"/>
                  </w:tcBorders>
                  <w:tcMar>
                    <w:top w:w="0" w:type="dxa"/>
                    <w:left w:w="69" w:type="dxa"/>
                    <w:bottom w:w="0" w:type="dxa"/>
                    <w:right w:w="69" w:type="dxa"/>
                  </w:tcMar>
                  <w:hideMark/>
                </w:tcPr>
                <w:p w14:paraId="13FACFFF" w14:textId="77777777" w:rsidR="00153C89" w:rsidRPr="00EA02CA" w:rsidRDefault="00153C89" w:rsidP="0053482B">
                  <w:r w:rsidRPr="00EA02CA">
                    <w:t>7.1</w:t>
                  </w:r>
                </w:p>
              </w:tc>
              <w:tc>
                <w:tcPr>
                  <w:tcW w:w="0" w:type="auto"/>
                  <w:tcBorders>
                    <w:top w:val="nil"/>
                    <w:left w:val="nil"/>
                    <w:bottom w:val="nil"/>
                    <w:right w:val="nil"/>
                  </w:tcBorders>
                  <w:tcMar>
                    <w:top w:w="0" w:type="dxa"/>
                    <w:left w:w="69" w:type="dxa"/>
                    <w:bottom w:w="0" w:type="dxa"/>
                    <w:right w:w="69" w:type="dxa"/>
                  </w:tcMar>
                  <w:hideMark/>
                </w:tcPr>
                <w:p w14:paraId="180A1998" w14:textId="77777777" w:rsidR="00153C89" w:rsidRPr="00EA02CA" w:rsidRDefault="00153C89" w:rsidP="0053482B">
                  <w:r w:rsidRPr="00EA02CA">
                    <w:t xml:space="preserve">Ausserschulische Raumbewirtschaftung bei </w:t>
                  </w:r>
                  <w:proofErr w:type="spellStart"/>
                  <w:r w:rsidRPr="00EA02CA">
                    <w:t>kantonalisierten</w:t>
                  </w:r>
                  <w:proofErr w:type="spellEnd"/>
                  <w:r w:rsidRPr="00EA02CA">
                    <w:t xml:space="preserve"> Schulbetrieben</w:t>
                  </w:r>
                </w:p>
              </w:tc>
              <w:tc>
                <w:tcPr>
                  <w:tcW w:w="0" w:type="auto"/>
                  <w:tcBorders>
                    <w:top w:val="nil"/>
                    <w:left w:val="nil"/>
                    <w:bottom w:val="nil"/>
                    <w:right w:val="nil"/>
                  </w:tcBorders>
                  <w:tcMar>
                    <w:top w:w="0" w:type="dxa"/>
                    <w:left w:w="69" w:type="dxa"/>
                    <w:bottom w:w="0" w:type="dxa"/>
                    <w:right w:w="69" w:type="dxa"/>
                  </w:tcMar>
                  <w:hideMark/>
                </w:tcPr>
                <w:p w14:paraId="56849949" w14:textId="77777777" w:rsidR="00153C89" w:rsidRPr="00EA02CA" w:rsidRDefault="00153C89" w:rsidP="0053482B"/>
              </w:tc>
            </w:tr>
            <w:tr w:rsidR="00153C89" w:rsidRPr="00EA02CA" w14:paraId="5FB928D1" w14:textId="77777777" w:rsidTr="0053482B">
              <w:tc>
                <w:tcPr>
                  <w:tcW w:w="0" w:type="auto"/>
                  <w:tcBorders>
                    <w:top w:val="nil"/>
                    <w:left w:val="nil"/>
                    <w:bottom w:val="nil"/>
                    <w:right w:val="nil"/>
                  </w:tcBorders>
                  <w:tcMar>
                    <w:top w:w="0" w:type="dxa"/>
                    <w:left w:w="69" w:type="dxa"/>
                    <w:bottom w:w="0" w:type="dxa"/>
                    <w:right w:w="69" w:type="dxa"/>
                  </w:tcMar>
                  <w:hideMark/>
                </w:tcPr>
                <w:p w14:paraId="7502BBA2" w14:textId="77777777" w:rsidR="00153C89" w:rsidRPr="00EA02CA" w:rsidRDefault="00153C89" w:rsidP="0053482B">
                  <w:r w:rsidRPr="00EA02CA">
                    <w:t>7.2 </w:t>
                  </w:r>
                </w:p>
              </w:tc>
              <w:tc>
                <w:tcPr>
                  <w:tcW w:w="0" w:type="auto"/>
                  <w:tcBorders>
                    <w:top w:val="nil"/>
                    <w:left w:val="nil"/>
                    <w:bottom w:val="nil"/>
                    <w:right w:val="nil"/>
                  </w:tcBorders>
                  <w:tcMar>
                    <w:top w:w="0" w:type="dxa"/>
                    <w:left w:w="69" w:type="dxa"/>
                    <w:bottom w:w="0" w:type="dxa"/>
                    <w:right w:w="69" w:type="dxa"/>
                  </w:tcMar>
                  <w:hideMark/>
                </w:tcPr>
                <w:p w14:paraId="04E53409" w14:textId="77777777" w:rsidR="00153C89" w:rsidRPr="00EA02CA" w:rsidRDefault="00153C89" w:rsidP="0053482B">
                  <w:r w:rsidRPr="00EA02CA">
                    <w:t>Badebetriebe</w:t>
                  </w:r>
                </w:p>
              </w:tc>
              <w:tc>
                <w:tcPr>
                  <w:tcW w:w="0" w:type="auto"/>
                  <w:vAlign w:val="center"/>
                  <w:hideMark/>
                </w:tcPr>
                <w:p w14:paraId="6809EC3F" w14:textId="77777777" w:rsidR="00153C89" w:rsidRPr="00EA02CA" w:rsidRDefault="00153C89" w:rsidP="0053482B"/>
              </w:tc>
            </w:tr>
          </w:tbl>
          <w:p w14:paraId="5D5FC466" w14:textId="77777777" w:rsidR="00153C89" w:rsidRPr="00EA02CA" w:rsidRDefault="00153C89" w:rsidP="0053482B">
            <w:pPr>
              <w:spacing w:line="280" w:lineRule="atLeast"/>
            </w:pPr>
          </w:p>
        </w:tc>
        <w:tc>
          <w:tcPr>
            <w:tcW w:w="1662" w:type="pct"/>
          </w:tcPr>
          <w:p w14:paraId="3DFE5B2A" w14:textId="77777777" w:rsidR="00153C89" w:rsidRPr="003B5E0D" w:rsidRDefault="00153C89" w:rsidP="0053482B">
            <w:pPr>
              <w:spacing w:line="280" w:lineRule="atLeast"/>
            </w:pPr>
            <w:r w:rsidRPr="003B5E0D">
              <w:rPr>
                <w:b/>
                <w:bCs/>
              </w:rPr>
              <w:lastRenderedPageBreak/>
              <w:t>Anhang IV</w:t>
            </w:r>
          </w:p>
          <w:p w14:paraId="61FC397D" w14:textId="77777777" w:rsidR="00153C89" w:rsidRPr="003B5E0D" w:rsidRDefault="00153C89" w:rsidP="0053482B">
            <w:pPr>
              <w:spacing w:line="280" w:lineRule="atLeast"/>
              <w:rPr>
                <w:b/>
                <w:bCs/>
              </w:rPr>
            </w:pPr>
            <w:r w:rsidRPr="003B5E0D">
              <w:rPr>
                <w:b/>
                <w:bCs/>
              </w:rPr>
              <w:t>Gebührentarif der Direktion für Bildung, Soziales und Sport</w:t>
            </w:r>
          </w:p>
          <w:p w14:paraId="24366B72" w14:textId="77777777" w:rsidR="00153C89" w:rsidRDefault="00153C89" w:rsidP="0053482B">
            <w:pPr>
              <w:pStyle w:val="SSSBArtikel"/>
              <w:outlineLvl w:val="0"/>
              <w:rPr>
                <w:spacing w:val="8"/>
              </w:rPr>
            </w:pPr>
            <w:r w:rsidRPr="003B5E0D">
              <w:rPr>
                <w:spacing w:val="8"/>
                <w:sz w:val="28"/>
                <w:szCs w:val="28"/>
                <w:vertAlign w:val="superscript"/>
              </w:rPr>
              <w:t>1-5</w:t>
            </w:r>
            <w:r>
              <w:rPr>
                <w:spacing w:val="8"/>
              </w:rPr>
              <w:t xml:space="preserve"> [unverändert]</w:t>
            </w:r>
          </w:p>
          <w:p w14:paraId="56C4B1A1" w14:textId="77777777" w:rsidR="00153C89" w:rsidRPr="0007665E" w:rsidRDefault="00153C89" w:rsidP="0053482B">
            <w:pPr>
              <w:pStyle w:val="SSSBArtikel"/>
              <w:outlineLvl w:val="0"/>
              <w:rPr>
                <w:spacing w:val="8"/>
              </w:rPr>
            </w:pPr>
            <w:r w:rsidRPr="003B5E0D">
              <w:rPr>
                <w:spacing w:val="8"/>
                <w:sz w:val="28"/>
                <w:szCs w:val="28"/>
                <w:vertAlign w:val="superscript"/>
              </w:rPr>
              <w:t xml:space="preserve">6 </w:t>
            </w:r>
            <w:r w:rsidRPr="00254C25">
              <w:rPr>
                <w:bCs/>
                <w:iCs/>
                <w:spacing w:val="8"/>
              </w:rPr>
              <w:t>[aufgehoben]</w:t>
            </w:r>
          </w:p>
          <w:p w14:paraId="5D0D78AD" w14:textId="2180F53D" w:rsidR="00153C89" w:rsidRPr="00EA02CA" w:rsidRDefault="00153C89" w:rsidP="00EA02CA">
            <w:pPr>
              <w:pStyle w:val="SSSBArtikel"/>
              <w:outlineLvl w:val="0"/>
              <w:rPr>
                <w:spacing w:val="8"/>
              </w:rPr>
            </w:pPr>
            <w:r w:rsidRPr="003B5E0D">
              <w:rPr>
                <w:spacing w:val="8"/>
                <w:sz w:val="28"/>
                <w:szCs w:val="28"/>
                <w:vertAlign w:val="superscript"/>
              </w:rPr>
              <w:t>7</w:t>
            </w:r>
            <w:r>
              <w:rPr>
                <w:spacing w:val="8"/>
              </w:rPr>
              <w:t xml:space="preserve"> [unverändert]</w:t>
            </w:r>
          </w:p>
        </w:tc>
        <w:tc>
          <w:tcPr>
            <w:tcW w:w="1675" w:type="pct"/>
          </w:tcPr>
          <w:p w14:paraId="68DB5D69" w14:textId="77777777" w:rsidR="00153C89" w:rsidRPr="007D59EE" w:rsidRDefault="00153C89" w:rsidP="0053482B">
            <w:pPr>
              <w:spacing w:line="280" w:lineRule="atLeast"/>
              <w:rPr>
                <w:lang w:val="de-DE"/>
              </w:rPr>
            </w:pPr>
          </w:p>
        </w:tc>
      </w:tr>
    </w:tbl>
    <w:p w14:paraId="3DCC52B3" w14:textId="77777777" w:rsidR="00153C89" w:rsidRDefault="00153C89" w:rsidP="000048B8">
      <w:pPr>
        <w:sectPr w:rsidR="00153C89" w:rsidSect="00153C89">
          <w:type w:val="continuous"/>
          <w:pgSz w:w="16838" w:h="11906" w:orient="landscape" w:code="9"/>
          <w:pgMar w:top="1134" w:right="1134" w:bottom="1134" w:left="2183" w:header="28" w:footer="567" w:gutter="0"/>
          <w:cols w:space="708"/>
          <w:titlePg/>
          <w:docGrid w:linePitch="360"/>
        </w:sectPr>
      </w:pPr>
    </w:p>
    <w:p w14:paraId="14B03199" w14:textId="77777777" w:rsidR="00153C89" w:rsidRPr="00153C89" w:rsidRDefault="00153C89" w:rsidP="000048B8"/>
    <w:sectPr w:rsidR="00153C89" w:rsidRPr="00153C89" w:rsidSect="00153C89">
      <w:type w:val="continuous"/>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 w:id="1">
    <w:p w14:paraId="67AE6002" w14:textId="77777777" w:rsidR="00153C89" w:rsidRPr="00220FB0" w:rsidRDefault="00153C89" w:rsidP="00153C89">
      <w:pPr>
        <w:pStyle w:val="Funotentext"/>
        <w:ind w:left="284" w:hanging="284"/>
        <w:rPr>
          <w:lang w:val="de-DE"/>
        </w:rPr>
      </w:pPr>
      <w:r>
        <w:rPr>
          <w:rStyle w:val="Funotenzeichen"/>
        </w:rPr>
        <w:footnoteRef/>
      </w:r>
      <w:r>
        <w:t xml:space="preserve"> </w:t>
      </w:r>
      <w:r>
        <w:tab/>
      </w:r>
      <w:r w:rsidRPr="00921B0D">
        <w:rPr>
          <w:b/>
          <w:bCs/>
        </w:rPr>
        <w:t>Begründung</w:t>
      </w:r>
      <w:r>
        <w:t xml:space="preserve">: </w:t>
      </w:r>
      <w:r w:rsidRPr="00C815A5">
        <w:t>Armut ist ein hoher Risikofaktor bezüglich Zahngesundheit. Die Kosten für zahnmedizinische Behandlungen stellen für armutsbetroffene Menschen eine grosse finanzielle Herausforderung dar. Gerade bei Kindern sind frühzeitige zahnmedizinische Behandlungen aber zentral und ein Verzicht auf diese Behandlungen ist häufig mit hohen gesundheitlichen wie auch finanziellen Folgekosten verbunden. Es ist wichtig, dass sich die Stadt Bern dafür einsetzt, allen Kindern Zugang zu einer guten zahnmedizinischen Versorgung zu ermöglichen.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0A342D95"/>
    <w:multiLevelType w:val="hybridMultilevel"/>
    <w:tmpl w:val="EC4CE1A8"/>
    <w:lvl w:ilvl="0" w:tplc="951E2A8C">
      <w:start w:val="1"/>
      <w:numFmt w:val="lowerLetter"/>
      <w:lvlText w:val="%1."/>
      <w:lvlJc w:val="left"/>
      <w:pPr>
        <w:ind w:left="638" w:hanging="369"/>
      </w:pPr>
      <w:rPr>
        <w:rFonts w:hint="default"/>
        <w:b/>
        <w:bCs/>
      </w:rPr>
    </w:lvl>
    <w:lvl w:ilvl="1" w:tplc="FFFFFFFF" w:tentative="1">
      <w:start w:val="1"/>
      <w:numFmt w:val="lowerLetter"/>
      <w:lvlText w:val="%2."/>
      <w:lvlJc w:val="left"/>
      <w:pPr>
        <w:ind w:left="1349" w:hanging="360"/>
      </w:pPr>
    </w:lvl>
    <w:lvl w:ilvl="2" w:tplc="FFFFFFFF" w:tentative="1">
      <w:start w:val="1"/>
      <w:numFmt w:val="lowerRoman"/>
      <w:lvlText w:val="%3."/>
      <w:lvlJc w:val="right"/>
      <w:pPr>
        <w:ind w:left="2069" w:hanging="180"/>
      </w:pPr>
    </w:lvl>
    <w:lvl w:ilvl="3" w:tplc="FFFFFFFF" w:tentative="1">
      <w:start w:val="1"/>
      <w:numFmt w:val="decimal"/>
      <w:lvlText w:val="%4."/>
      <w:lvlJc w:val="left"/>
      <w:pPr>
        <w:ind w:left="2789" w:hanging="360"/>
      </w:pPr>
    </w:lvl>
    <w:lvl w:ilvl="4" w:tplc="FFFFFFFF" w:tentative="1">
      <w:start w:val="1"/>
      <w:numFmt w:val="lowerLetter"/>
      <w:lvlText w:val="%5."/>
      <w:lvlJc w:val="left"/>
      <w:pPr>
        <w:ind w:left="3509" w:hanging="360"/>
      </w:pPr>
    </w:lvl>
    <w:lvl w:ilvl="5" w:tplc="FFFFFFFF" w:tentative="1">
      <w:start w:val="1"/>
      <w:numFmt w:val="lowerRoman"/>
      <w:lvlText w:val="%6."/>
      <w:lvlJc w:val="right"/>
      <w:pPr>
        <w:ind w:left="4229" w:hanging="180"/>
      </w:pPr>
    </w:lvl>
    <w:lvl w:ilvl="6" w:tplc="FFFFFFFF" w:tentative="1">
      <w:start w:val="1"/>
      <w:numFmt w:val="decimal"/>
      <w:lvlText w:val="%7."/>
      <w:lvlJc w:val="left"/>
      <w:pPr>
        <w:ind w:left="4949" w:hanging="360"/>
      </w:pPr>
    </w:lvl>
    <w:lvl w:ilvl="7" w:tplc="FFFFFFFF" w:tentative="1">
      <w:start w:val="1"/>
      <w:numFmt w:val="lowerLetter"/>
      <w:lvlText w:val="%8."/>
      <w:lvlJc w:val="left"/>
      <w:pPr>
        <w:ind w:left="5669" w:hanging="360"/>
      </w:pPr>
    </w:lvl>
    <w:lvl w:ilvl="8" w:tplc="FFFFFFFF" w:tentative="1">
      <w:start w:val="1"/>
      <w:numFmt w:val="lowerRoman"/>
      <w:lvlText w:val="%9."/>
      <w:lvlJc w:val="right"/>
      <w:pPr>
        <w:ind w:left="6389" w:hanging="180"/>
      </w:pPr>
    </w:lvl>
  </w:abstractNum>
  <w:abstractNum w:abstractNumId="2"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4" w15:restartNumberingAfterBreak="0">
    <w:nsid w:val="28782D05"/>
    <w:multiLevelType w:val="hybridMultilevel"/>
    <w:tmpl w:val="1386676A"/>
    <w:lvl w:ilvl="0" w:tplc="AA9EE124">
      <w:start w:val="1"/>
      <w:numFmt w:val="lowerLetter"/>
      <w:lvlText w:val="%1."/>
      <w:lvlJc w:val="left"/>
      <w:pPr>
        <w:ind w:left="638" w:hanging="369"/>
      </w:pPr>
      <w:rPr>
        <w:rFonts w:hint="default"/>
        <w:b/>
        <w:bCs/>
      </w:rPr>
    </w:lvl>
    <w:lvl w:ilvl="1" w:tplc="FFFFFFFF" w:tentative="1">
      <w:start w:val="1"/>
      <w:numFmt w:val="lowerLetter"/>
      <w:lvlText w:val="%2."/>
      <w:lvlJc w:val="left"/>
      <w:pPr>
        <w:ind w:left="1349" w:hanging="360"/>
      </w:pPr>
    </w:lvl>
    <w:lvl w:ilvl="2" w:tplc="FFFFFFFF" w:tentative="1">
      <w:start w:val="1"/>
      <w:numFmt w:val="lowerRoman"/>
      <w:lvlText w:val="%3."/>
      <w:lvlJc w:val="right"/>
      <w:pPr>
        <w:ind w:left="2069" w:hanging="180"/>
      </w:pPr>
    </w:lvl>
    <w:lvl w:ilvl="3" w:tplc="FFFFFFFF" w:tentative="1">
      <w:start w:val="1"/>
      <w:numFmt w:val="decimal"/>
      <w:lvlText w:val="%4."/>
      <w:lvlJc w:val="left"/>
      <w:pPr>
        <w:ind w:left="2789" w:hanging="360"/>
      </w:pPr>
    </w:lvl>
    <w:lvl w:ilvl="4" w:tplc="FFFFFFFF" w:tentative="1">
      <w:start w:val="1"/>
      <w:numFmt w:val="lowerLetter"/>
      <w:lvlText w:val="%5."/>
      <w:lvlJc w:val="left"/>
      <w:pPr>
        <w:ind w:left="3509" w:hanging="360"/>
      </w:pPr>
    </w:lvl>
    <w:lvl w:ilvl="5" w:tplc="FFFFFFFF" w:tentative="1">
      <w:start w:val="1"/>
      <w:numFmt w:val="lowerRoman"/>
      <w:lvlText w:val="%6."/>
      <w:lvlJc w:val="right"/>
      <w:pPr>
        <w:ind w:left="4229" w:hanging="180"/>
      </w:pPr>
    </w:lvl>
    <w:lvl w:ilvl="6" w:tplc="FFFFFFFF" w:tentative="1">
      <w:start w:val="1"/>
      <w:numFmt w:val="decimal"/>
      <w:lvlText w:val="%7."/>
      <w:lvlJc w:val="left"/>
      <w:pPr>
        <w:ind w:left="4949" w:hanging="360"/>
      </w:pPr>
    </w:lvl>
    <w:lvl w:ilvl="7" w:tplc="FFFFFFFF" w:tentative="1">
      <w:start w:val="1"/>
      <w:numFmt w:val="lowerLetter"/>
      <w:lvlText w:val="%8."/>
      <w:lvlJc w:val="left"/>
      <w:pPr>
        <w:ind w:left="5669" w:hanging="360"/>
      </w:pPr>
    </w:lvl>
    <w:lvl w:ilvl="8" w:tplc="FFFFFFFF" w:tentative="1">
      <w:start w:val="1"/>
      <w:numFmt w:val="lowerRoman"/>
      <w:lvlText w:val="%9."/>
      <w:lvlJc w:val="right"/>
      <w:pPr>
        <w:ind w:left="6389" w:hanging="180"/>
      </w:pPr>
    </w:lvl>
  </w:abstractNum>
  <w:abstractNum w:abstractNumId="5"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A6F610C"/>
    <w:multiLevelType w:val="multilevel"/>
    <w:tmpl w:val="3E92B728"/>
    <w:numStyleLink w:val="AUFZGRAU"/>
  </w:abstractNum>
  <w:abstractNum w:abstractNumId="7"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9"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453B9E"/>
    <w:multiLevelType w:val="hybridMultilevel"/>
    <w:tmpl w:val="9AE0EA00"/>
    <w:lvl w:ilvl="0" w:tplc="A1CED5F4">
      <w:start w:val="1"/>
      <w:numFmt w:val="lowerLetter"/>
      <w:lvlText w:val="%1."/>
      <w:lvlJc w:val="left"/>
      <w:pPr>
        <w:ind w:left="638" w:hanging="369"/>
      </w:pPr>
      <w:rPr>
        <w:rFonts w:hint="default"/>
      </w:rPr>
    </w:lvl>
    <w:lvl w:ilvl="1" w:tplc="08070019" w:tentative="1">
      <w:start w:val="1"/>
      <w:numFmt w:val="lowerLetter"/>
      <w:lvlText w:val="%2."/>
      <w:lvlJc w:val="left"/>
      <w:pPr>
        <w:ind w:left="1349" w:hanging="360"/>
      </w:pPr>
    </w:lvl>
    <w:lvl w:ilvl="2" w:tplc="0807001B" w:tentative="1">
      <w:start w:val="1"/>
      <w:numFmt w:val="lowerRoman"/>
      <w:lvlText w:val="%3."/>
      <w:lvlJc w:val="right"/>
      <w:pPr>
        <w:ind w:left="2069" w:hanging="180"/>
      </w:pPr>
    </w:lvl>
    <w:lvl w:ilvl="3" w:tplc="0807000F" w:tentative="1">
      <w:start w:val="1"/>
      <w:numFmt w:val="decimal"/>
      <w:lvlText w:val="%4."/>
      <w:lvlJc w:val="left"/>
      <w:pPr>
        <w:ind w:left="2789" w:hanging="360"/>
      </w:pPr>
    </w:lvl>
    <w:lvl w:ilvl="4" w:tplc="08070019" w:tentative="1">
      <w:start w:val="1"/>
      <w:numFmt w:val="lowerLetter"/>
      <w:lvlText w:val="%5."/>
      <w:lvlJc w:val="left"/>
      <w:pPr>
        <w:ind w:left="3509" w:hanging="360"/>
      </w:pPr>
    </w:lvl>
    <w:lvl w:ilvl="5" w:tplc="0807001B" w:tentative="1">
      <w:start w:val="1"/>
      <w:numFmt w:val="lowerRoman"/>
      <w:lvlText w:val="%6."/>
      <w:lvlJc w:val="right"/>
      <w:pPr>
        <w:ind w:left="4229" w:hanging="180"/>
      </w:pPr>
    </w:lvl>
    <w:lvl w:ilvl="6" w:tplc="0807000F" w:tentative="1">
      <w:start w:val="1"/>
      <w:numFmt w:val="decimal"/>
      <w:lvlText w:val="%7."/>
      <w:lvlJc w:val="left"/>
      <w:pPr>
        <w:ind w:left="4949" w:hanging="360"/>
      </w:pPr>
    </w:lvl>
    <w:lvl w:ilvl="7" w:tplc="08070019" w:tentative="1">
      <w:start w:val="1"/>
      <w:numFmt w:val="lowerLetter"/>
      <w:lvlText w:val="%8."/>
      <w:lvlJc w:val="left"/>
      <w:pPr>
        <w:ind w:left="5669" w:hanging="360"/>
      </w:pPr>
    </w:lvl>
    <w:lvl w:ilvl="8" w:tplc="0807001B" w:tentative="1">
      <w:start w:val="1"/>
      <w:numFmt w:val="lowerRoman"/>
      <w:lvlText w:val="%9."/>
      <w:lvlJc w:val="right"/>
      <w:pPr>
        <w:ind w:left="6389" w:hanging="180"/>
      </w:pPr>
    </w:lvl>
  </w:abstractNum>
  <w:abstractNum w:abstractNumId="11"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3" w15:restartNumberingAfterBreak="0">
    <w:nsid w:val="55F97982"/>
    <w:multiLevelType w:val="multilevel"/>
    <w:tmpl w:val="006EE2DC"/>
    <w:numStyleLink w:val="AUFZSCHWARZ"/>
  </w:abstractNum>
  <w:abstractNum w:abstractNumId="14"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B1A5115"/>
    <w:multiLevelType w:val="hybridMultilevel"/>
    <w:tmpl w:val="D6D66F3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7E8C1926"/>
    <w:multiLevelType w:val="hybridMultilevel"/>
    <w:tmpl w:val="7756B386"/>
    <w:lvl w:ilvl="0" w:tplc="C93C98C4">
      <w:start w:val="1"/>
      <w:numFmt w:val="lowerLetter"/>
      <w:lvlText w:val="%1."/>
      <w:lvlJc w:val="left"/>
      <w:pPr>
        <w:ind w:left="638" w:hanging="369"/>
      </w:pPr>
      <w:rPr>
        <w:rFonts w:hint="default"/>
        <w:b/>
        <w:bCs/>
      </w:rPr>
    </w:lvl>
    <w:lvl w:ilvl="1" w:tplc="FFFFFFFF" w:tentative="1">
      <w:start w:val="1"/>
      <w:numFmt w:val="lowerLetter"/>
      <w:lvlText w:val="%2."/>
      <w:lvlJc w:val="left"/>
      <w:pPr>
        <w:ind w:left="1349" w:hanging="360"/>
      </w:pPr>
    </w:lvl>
    <w:lvl w:ilvl="2" w:tplc="FFFFFFFF" w:tentative="1">
      <w:start w:val="1"/>
      <w:numFmt w:val="lowerRoman"/>
      <w:lvlText w:val="%3."/>
      <w:lvlJc w:val="right"/>
      <w:pPr>
        <w:ind w:left="2069" w:hanging="180"/>
      </w:pPr>
    </w:lvl>
    <w:lvl w:ilvl="3" w:tplc="FFFFFFFF" w:tentative="1">
      <w:start w:val="1"/>
      <w:numFmt w:val="decimal"/>
      <w:lvlText w:val="%4."/>
      <w:lvlJc w:val="left"/>
      <w:pPr>
        <w:ind w:left="2789" w:hanging="360"/>
      </w:pPr>
    </w:lvl>
    <w:lvl w:ilvl="4" w:tplc="FFFFFFFF" w:tentative="1">
      <w:start w:val="1"/>
      <w:numFmt w:val="lowerLetter"/>
      <w:lvlText w:val="%5."/>
      <w:lvlJc w:val="left"/>
      <w:pPr>
        <w:ind w:left="3509" w:hanging="360"/>
      </w:pPr>
    </w:lvl>
    <w:lvl w:ilvl="5" w:tplc="FFFFFFFF" w:tentative="1">
      <w:start w:val="1"/>
      <w:numFmt w:val="lowerRoman"/>
      <w:lvlText w:val="%6."/>
      <w:lvlJc w:val="right"/>
      <w:pPr>
        <w:ind w:left="4229" w:hanging="180"/>
      </w:pPr>
    </w:lvl>
    <w:lvl w:ilvl="6" w:tplc="FFFFFFFF" w:tentative="1">
      <w:start w:val="1"/>
      <w:numFmt w:val="decimal"/>
      <w:lvlText w:val="%7."/>
      <w:lvlJc w:val="left"/>
      <w:pPr>
        <w:ind w:left="4949" w:hanging="360"/>
      </w:pPr>
    </w:lvl>
    <w:lvl w:ilvl="7" w:tplc="FFFFFFFF" w:tentative="1">
      <w:start w:val="1"/>
      <w:numFmt w:val="lowerLetter"/>
      <w:lvlText w:val="%8."/>
      <w:lvlJc w:val="left"/>
      <w:pPr>
        <w:ind w:left="5669" w:hanging="360"/>
      </w:pPr>
    </w:lvl>
    <w:lvl w:ilvl="8" w:tplc="FFFFFFFF" w:tentative="1">
      <w:start w:val="1"/>
      <w:numFmt w:val="lowerRoman"/>
      <w:lvlText w:val="%9."/>
      <w:lvlJc w:val="right"/>
      <w:pPr>
        <w:ind w:left="6389" w:hanging="180"/>
      </w:pPr>
    </w:lvl>
  </w:abstractNum>
  <w:num w:numId="1" w16cid:durableId="788204254">
    <w:abstractNumId w:val="12"/>
  </w:num>
  <w:num w:numId="2" w16cid:durableId="26762586">
    <w:abstractNumId w:val="8"/>
  </w:num>
  <w:num w:numId="3" w16cid:durableId="804664702">
    <w:abstractNumId w:val="3"/>
  </w:num>
  <w:num w:numId="4" w16cid:durableId="1589272785">
    <w:abstractNumId w:val="13"/>
  </w:num>
  <w:num w:numId="5" w16cid:durableId="827788269">
    <w:abstractNumId w:val="6"/>
  </w:num>
  <w:num w:numId="6" w16cid:durableId="1222671307">
    <w:abstractNumId w:val="0"/>
  </w:num>
  <w:num w:numId="7" w16cid:durableId="272446662">
    <w:abstractNumId w:val="9"/>
  </w:num>
  <w:num w:numId="8" w16cid:durableId="527446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2"/>
  </w:num>
  <w:num w:numId="10" w16cid:durableId="1624537535">
    <w:abstractNumId w:val="16"/>
  </w:num>
  <w:num w:numId="11" w16cid:durableId="1621296996">
    <w:abstractNumId w:val="5"/>
  </w:num>
  <w:num w:numId="12" w16cid:durableId="1451624990">
    <w:abstractNumId w:val="18"/>
  </w:num>
  <w:num w:numId="13" w16cid:durableId="1903321324">
    <w:abstractNumId w:val="7"/>
  </w:num>
  <w:num w:numId="14" w16cid:durableId="575557532">
    <w:abstractNumId w:val="11"/>
  </w:num>
  <w:num w:numId="15" w16cid:durableId="235240003">
    <w:abstractNumId w:val="14"/>
  </w:num>
  <w:num w:numId="16" w16cid:durableId="269051685">
    <w:abstractNumId w:val="10"/>
  </w:num>
  <w:num w:numId="17" w16cid:durableId="191842410">
    <w:abstractNumId w:val="19"/>
  </w:num>
  <w:num w:numId="18" w16cid:durableId="1511139951">
    <w:abstractNumId w:val="1"/>
  </w:num>
  <w:num w:numId="19" w16cid:durableId="1115707476">
    <w:abstractNumId w:val="4"/>
  </w:num>
  <w:num w:numId="20" w16cid:durableId="9147044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5357E"/>
    <w:rsid w:val="00064D44"/>
    <w:rsid w:val="00066D1C"/>
    <w:rsid w:val="00066D46"/>
    <w:rsid w:val="00076FB7"/>
    <w:rsid w:val="000773CE"/>
    <w:rsid w:val="00077C95"/>
    <w:rsid w:val="00090C22"/>
    <w:rsid w:val="000C3261"/>
    <w:rsid w:val="000F7A38"/>
    <w:rsid w:val="000F7DBC"/>
    <w:rsid w:val="00110543"/>
    <w:rsid w:val="0013570E"/>
    <w:rsid w:val="00145C42"/>
    <w:rsid w:val="00153C89"/>
    <w:rsid w:val="001D5E04"/>
    <w:rsid w:val="001E2C87"/>
    <w:rsid w:val="002257FC"/>
    <w:rsid w:val="0023211B"/>
    <w:rsid w:val="002331B7"/>
    <w:rsid w:val="00244890"/>
    <w:rsid w:val="00265FDA"/>
    <w:rsid w:val="00275776"/>
    <w:rsid w:val="00294F07"/>
    <w:rsid w:val="00296E99"/>
    <w:rsid w:val="002D683A"/>
    <w:rsid w:val="00316A56"/>
    <w:rsid w:val="0033603F"/>
    <w:rsid w:val="00341097"/>
    <w:rsid w:val="003730B7"/>
    <w:rsid w:val="003737AE"/>
    <w:rsid w:val="00382989"/>
    <w:rsid w:val="00393F3D"/>
    <w:rsid w:val="003A31B2"/>
    <w:rsid w:val="003F37FF"/>
    <w:rsid w:val="003F6FC5"/>
    <w:rsid w:val="003F74DE"/>
    <w:rsid w:val="00416672"/>
    <w:rsid w:val="004425BD"/>
    <w:rsid w:val="004431B2"/>
    <w:rsid w:val="00453E24"/>
    <w:rsid w:val="00462958"/>
    <w:rsid w:val="00463E66"/>
    <w:rsid w:val="004720D0"/>
    <w:rsid w:val="004A3C1E"/>
    <w:rsid w:val="004D0D62"/>
    <w:rsid w:val="004F196F"/>
    <w:rsid w:val="00506509"/>
    <w:rsid w:val="00526EA9"/>
    <w:rsid w:val="00541557"/>
    <w:rsid w:val="005539FA"/>
    <w:rsid w:val="005556D0"/>
    <w:rsid w:val="00566090"/>
    <w:rsid w:val="0057114F"/>
    <w:rsid w:val="005850A6"/>
    <w:rsid w:val="005B54F0"/>
    <w:rsid w:val="005D4A9C"/>
    <w:rsid w:val="005E5795"/>
    <w:rsid w:val="005F666B"/>
    <w:rsid w:val="00603F59"/>
    <w:rsid w:val="006552CD"/>
    <w:rsid w:val="00692F1B"/>
    <w:rsid w:val="006A6369"/>
    <w:rsid w:val="006A74E0"/>
    <w:rsid w:val="006E58FB"/>
    <w:rsid w:val="006F4F98"/>
    <w:rsid w:val="00766851"/>
    <w:rsid w:val="00771473"/>
    <w:rsid w:val="00776D5C"/>
    <w:rsid w:val="00780A3E"/>
    <w:rsid w:val="00786A08"/>
    <w:rsid w:val="00795CAB"/>
    <w:rsid w:val="007963FF"/>
    <w:rsid w:val="007C1939"/>
    <w:rsid w:val="007D2F89"/>
    <w:rsid w:val="007D6888"/>
    <w:rsid w:val="007F18C8"/>
    <w:rsid w:val="00821955"/>
    <w:rsid w:val="00836238"/>
    <w:rsid w:val="00861909"/>
    <w:rsid w:val="00881283"/>
    <w:rsid w:val="008B6E74"/>
    <w:rsid w:val="008C6989"/>
    <w:rsid w:val="008D11E3"/>
    <w:rsid w:val="008E2B70"/>
    <w:rsid w:val="008E2ED9"/>
    <w:rsid w:val="008F2605"/>
    <w:rsid w:val="009017A7"/>
    <w:rsid w:val="00903044"/>
    <w:rsid w:val="00931BD1"/>
    <w:rsid w:val="00945433"/>
    <w:rsid w:val="009510C5"/>
    <w:rsid w:val="0095284B"/>
    <w:rsid w:val="009C0D41"/>
    <w:rsid w:val="009D2061"/>
    <w:rsid w:val="009D796A"/>
    <w:rsid w:val="009E0F19"/>
    <w:rsid w:val="009E47B2"/>
    <w:rsid w:val="009F37DC"/>
    <w:rsid w:val="00A04FD6"/>
    <w:rsid w:val="00A051D1"/>
    <w:rsid w:val="00A17AA9"/>
    <w:rsid w:val="00A634FE"/>
    <w:rsid w:val="00AA05F6"/>
    <w:rsid w:val="00AC588A"/>
    <w:rsid w:val="00AC609E"/>
    <w:rsid w:val="00AD011B"/>
    <w:rsid w:val="00AE68D7"/>
    <w:rsid w:val="00B04571"/>
    <w:rsid w:val="00B04987"/>
    <w:rsid w:val="00B35CB5"/>
    <w:rsid w:val="00B47A10"/>
    <w:rsid w:val="00B54B84"/>
    <w:rsid w:val="00B7110B"/>
    <w:rsid w:val="00B8280E"/>
    <w:rsid w:val="00B8581F"/>
    <w:rsid w:val="00BD195E"/>
    <w:rsid w:val="00C31A7C"/>
    <w:rsid w:val="00C31C9F"/>
    <w:rsid w:val="00C51C2B"/>
    <w:rsid w:val="00C52383"/>
    <w:rsid w:val="00CA413A"/>
    <w:rsid w:val="00CD0480"/>
    <w:rsid w:val="00CD5E3C"/>
    <w:rsid w:val="00CE0829"/>
    <w:rsid w:val="00CE62ED"/>
    <w:rsid w:val="00CF2429"/>
    <w:rsid w:val="00CF7F58"/>
    <w:rsid w:val="00D10476"/>
    <w:rsid w:val="00D308DB"/>
    <w:rsid w:val="00D34B0E"/>
    <w:rsid w:val="00D35B72"/>
    <w:rsid w:val="00D86C68"/>
    <w:rsid w:val="00DA423C"/>
    <w:rsid w:val="00DA4C07"/>
    <w:rsid w:val="00DB05AD"/>
    <w:rsid w:val="00DC592B"/>
    <w:rsid w:val="00DD034E"/>
    <w:rsid w:val="00DD299C"/>
    <w:rsid w:val="00DE77C1"/>
    <w:rsid w:val="00EA02CA"/>
    <w:rsid w:val="00EA1686"/>
    <w:rsid w:val="00EA63E1"/>
    <w:rsid w:val="00EB7E1E"/>
    <w:rsid w:val="00EC25EF"/>
    <w:rsid w:val="00EE3A17"/>
    <w:rsid w:val="00EF337D"/>
    <w:rsid w:val="00F31950"/>
    <w:rsid w:val="00F343FC"/>
    <w:rsid w:val="00F73D44"/>
    <w:rsid w:val="00F73E62"/>
    <w:rsid w:val="00F757DE"/>
    <w:rsid w:val="00F80AA5"/>
    <w:rsid w:val="00F816B6"/>
    <w:rsid w:val="00F947E6"/>
    <w:rsid w:val="00FB6865"/>
    <w:rsid w:val="00FC2B60"/>
    <w:rsid w:val="00FC68C9"/>
    <w:rsid w:val="00FC7054"/>
    <w:rsid w:val="00FD0A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table" w:styleId="EinfacheTabelle1">
    <w:name w:val="Plain Table 1"/>
    <w:basedOn w:val="NormaleTabelle"/>
    <w:uiPriority w:val="41"/>
    <w:rsid w:val="00153C89"/>
    <w:pPr>
      <w:spacing w:line="240" w:lineRule="auto"/>
    </w:pPr>
    <w:rPr>
      <w:rFonts w:eastAsiaTheme="minorHAnsi" w:cs="Arial"/>
      <w:kern w:val="2"/>
      <w:lang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SSBTitel">
    <w:name w:val="SSSB Titel"/>
    <w:qFormat/>
    <w:rsid w:val="00153C89"/>
    <w:pPr>
      <w:spacing w:line="288" w:lineRule="auto"/>
      <w:textAlignment w:val="baseline"/>
    </w:pPr>
    <w:rPr>
      <w:rFonts w:cs="Arial"/>
      <w:b/>
      <w:spacing w:val="0"/>
      <w:kern w:val="2"/>
      <w:sz w:val="22"/>
      <w:lang w:eastAsia="de-DE"/>
    </w:rPr>
  </w:style>
  <w:style w:type="paragraph" w:customStyle="1" w:styleId="SSSBStandard">
    <w:name w:val="SSSB Standard"/>
    <w:qFormat/>
    <w:rsid w:val="00153C89"/>
    <w:pPr>
      <w:tabs>
        <w:tab w:val="left" w:pos="1417"/>
      </w:tabs>
      <w:spacing w:before="120" w:line="288" w:lineRule="auto"/>
      <w:textAlignment w:val="baseline"/>
    </w:pPr>
    <w:rPr>
      <w:rFonts w:cs="Arial"/>
      <w:color w:val="000000"/>
      <w:spacing w:val="0"/>
      <w:kern w:val="2"/>
      <w:lang w:eastAsia="de-DE"/>
    </w:rPr>
  </w:style>
  <w:style w:type="paragraph" w:customStyle="1" w:styleId="SSSBVerweis">
    <w:name w:val="SSSB Verweis"/>
    <w:qFormat/>
    <w:rsid w:val="00153C89"/>
    <w:pPr>
      <w:tabs>
        <w:tab w:val="left" w:pos="567"/>
      </w:tabs>
      <w:spacing w:before="120" w:line="240" w:lineRule="auto"/>
      <w:ind w:left="283" w:hanging="283"/>
      <w:textAlignment w:val="baseline"/>
    </w:pPr>
    <w:rPr>
      <w:rFonts w:cs="Arial"/>
      <w:color w:val="000000"/>
      <w:spacing w:val="0"/>
      <w:kern w:val="2"/>
      <w:lang w:eastAsia="de-DE"/>
    </w:rPr>
  </w:style>
  <w:style w:type="paragraph" w:customStyle="1" w:styleId="SSSBArtikel">
    <w:name w:val="SSSB Artikel"/>
    <w:qFormat/>
    <w:rsid w:val="00153C89"/>
    <w:pPr>
      <w:keepNext/>
      <w:spacing w:before="240" w:line="240" w:lineRule="auto"/>
      <w:textAlignment w:val="baseline"/>
      <w:outlineLvl w:val="1"/>
    </w:pPr>
    <w:rPr>
      <w:rFonts w:cs="Arial"/>
      <w:color w:val="000000"/>
      <w:spacing w:val="0"/>
      <w:kern w:val="2"/>
      <w:lang w:eastAsia="de-DE"/>
    </w:rPr>
  </w:style>
  <w:style w:type="paragraph" w:customStyle="1" w:styleId="SSSBAbsatz">
    <w:name w:val="SSSB Absatz"/>
    <w:qFormat/>
    <w:rsid w:val="00153C89"/>
    <w:pPr>
      <w:tabs>
        <w:tab w:val="left" w:pos="1701"/>
        <w:tab w:val="left" w:pos="3402"/>
      </w:tabs>
      <w:spacing w:before="120" w:line="288" w:lineRule="auto"/>
      <w:textAlignment w:val="baseline"/>
      <w:outlineLvl w:val="2"/>
    </w:pPr>
    <w:rPr>
      <w:rFonts w:cs="Arial"/>
      <w:color w:val="000000"/>
      <w:spacing w:val="0"/>
      <w:kern w:val="2"/>
      <w:lang w:eastAsia="de-DE"/>
    </w:rPr>
  </w:style>
  <w:style w:type="paragraph" w:customStyle="1" w:styleId="SSSBBuchstabe">
    <w:name w:val="SSSB Buchstabe"/>
    <w:basedOn w:val="SSSBAbsatz"/>
    <w:qFormat/>
    <w:rsid w:val="00153C89"/>
    <w:pPr>
      <w:tabs>
        <w:tab w:val="left" w:pos="170"/>
        <w:tab w:val="left" w:pos="3969"/>
        <w:tab w:val="left" w:pos="6236"/>
      </w:tabs>
      <w:ind w:left="638" w:hanging="369"/>
    </w:pPr>
  </w:style>
  <w:style w:type="paragraph" w:styleId="Funotentext">
    <w:name w:val="footnote text"/>
    <w:basedOn w:val="Standard"/>
    <w:link w:val="FunotentextZchn"/>
    <w:unhideWhenUsed/>
    <w:rsid w:val="00153C89"/>
    <w:pPr>
      <w:spacing w:line="240" w:lineRule="auto"/>
    </w:pPr>
    <w:rPr>
      <w:rFonts w:ascii="Arial" w:eastAsiaTheme="minorHAnsi" w:hAnsi="Arial" w:cs="Arial"/>
      <w:kern w:val="2"/>
      <w:lang w:eastAsia="en-US"/>
      <w14:ligatures w14:val="standardContextual"/>
    </w:rPr>
  </w:style>
  <w:style w:type="character" w:customStyle="1" w:styleId="FunotentextZchn">
    <w:name w:val="Fußnotentext Zchn"/>
    <w:basedOn w:val="Absatz-Standardschriftart"/>
    <w:link w:val="Funotentext"/>
    <w:rsid w:val="00153C89"/>
    <w:rPr>
      <w:rFonts w:eastAsiaTheme="minorHAnsi" w:cs="Arial"/>
      <w:kern w:val="2"/>
      <w:lang w:eastAsia="en-US"/>
      <w14:ligatures w14:val="standardContextual"/>
    </w:rPr>
  </w:style>
  <w:style w:type="character" w:styleId="Funotenzeichen">
    <w:name w:val="footnote reference"/>
    <w:basedOn w:val="Absatz-Standardschriftart"/>
    <w:unhideWhenUsed/>
    <w:qFormat/>
    <w:rsid w:val="00153C89"/>
    <w:rPr>
      <w:vertAlign w:val="superscript"/>
    </w:rPr>
  </w:style>
  <w:style w:type="paragraph" w:styleId="berarbeitung">
    <w:name w:val="Revision"/>
    <w:hidden/>
    <w:uiPriority w:val="99"/>
    <w:semiHidden/>
    <w:rsid w:val="00153C89"/>
    <w:pPr>
      <w:spacing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6764639A40404B91DA4099DBF1638B"/>
        <w:category>
          <w:name w:val="Allgemein"/>
          <w:gallery w:val="placeholder"/>
        </w:category>
        <w:types>
          <w:type w:val="bbPlcHdr"/>
        </w:types>
        <w:behaviors>
          <w:behavior w:val="content"/>
        </w:behaviors>
        <w:guid w:val="{EF0E8BBA-94CB-4F7C-82FA-11DB1F851FA7}"/>
      </w:docPartPr>
      <w:docPartBody>
        <w:p w:rsidR="007F5562" w:rsidRDefault="007F5562" w:rsidP="007F5562">
          <w:pPr>
            <w:pStyle w:val="816764639A40404B91DA4099DBF1638B"/>
          </w:pPr>
          <w:r w:rsidRPr="006C1C3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62"/>
    <w:rsid w:val="006552CD"/>
    <w:rsid w:val="007F5562"/>
    <w:rsid w:val="00D308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5562"/>
    <w:rPr>
      <w:color w:val="666666"/>
    </w:rPr>
  </w:style>
  <w:style w:type="paragraph" w:customStyle="1" w:styleId="816764639A40404B91DA4099DBF1638B">
    <w:name w:val="816764639A40404B91DA4099DBF1638B"/>
    <w:rsid w:val="007F5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2351</Words>
  <Characters>16023</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RS</cp:lastModifiedBy>
  <cp:revision>18</cp:revision>
  <dcterms:created xsi:type="dcterms:W3CDTF">2019-01-11T14:41:00Z</dcterms:created>
  <dcterms:modified xsi:type="dcterms:W3CDTF">2025-06-11T09:27:00Z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